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Default="00272811" w:rsidP="00620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r w:rsidR="00DB7467" w:rsidRPr="00DB7467">
        <w:rPr>
          <w:b/>
          <w:bCs/>
          <w:sz w:val="28"/>
          <w:szCs w:val="28"/>
        </w:rPr>
        <w:t>Laveru</w:t>
      </w:r>
      <w:proofErr w:type="spellEnd"/>
      <w:r w:rsidR="00DB7467" w:rsidRPr="00DB7467">
        <w:rPr>
          <w:b/>
          <w:bCs/>
          <w:sz w:val="28"/>
          <w:szCs w:val="28"/>
        </w:rPr>
        <w:t xml:space="preserve"> ceļa grants seguma pārbūve</w:t>
      </w:r>
      <w:r>
        <w:rPr>
          <w:b/>
          <w:sz w:val="28"/>
          <w:szCs w:val="28"/>
        </w:rPr>
        <w:t>”</w:t>
      </w:r>
    </w:p>
    <w:p w:rsidR="00272811" w:rsidRDefault="00DB7467" w:rsidP="0027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ID.Nr</w:t>
      </w:r>
      <w:proofErr w:type="spellEnd"/>
      <w:r>
        <w:rPr>
          <w:b/>
          <w:sz w:val="28"/>
          <w:szCs w:val="28"/>
        </w:rPr>
        <w:t>. ĀND 2017/127</w:t>
      </w:r>
      <w:r w:rsidR="00805548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DB7467">
        <w:rPr>
          <w:b/>
        </w:rPr>
        <w:t xml:space="preserve"> Nr.05-30-2017/127</w:t>
      </w:r>
      <w:r w:rsidR="006B2C5B">
        <w:rPr>
          <w:b/>
        </w:rPr>
        <w:t>-</w:t>
      </w:r>
      <w:r w:rsidR="00D61D61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D61D61">
            <w:pPr>
              <w:jc w:val="right"/>
            </w:pPr>
            <w:r>
              <w:rPr>
                <w:b/>
              </w:rPr>
              <w:t>2017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D61D61">
              <w:rPr>
                <w:b/>
              </w:rPr>
              <w:t>21</w:t>
            </w:r>
            <w:r w:rsidR="00DB7467">
              <w:rPr>
                <w:b/>
              </w:rPr>
              <w:t>.novembrī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120ACA" w:rsidP="00272811">
      <w:pPr>
        <w:pStyle w:val="Heading2"/>
        <w:ind w:firstLine="720"/>
        <w:rPr>
          <w:sz w:val="24"/>
        </w:rPr>
      </w:pPr>
      <w:r>
        <w:rPr>
          <w:sz w:val="24"/>
        </w:rPr>
        <w:t>Ko</w:t>
      </w:r>
      <w:r w:rsidR="0080554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F30832">
        <w:rPr>
          <w:sz w:val="24"/>
        </w:rPr>
        <w:t xml:space="preserve"> plkst. 10</w:t>
      </w:r>
      <w:r w:rsidR="00272811"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E656DF" w:rsidTr="00272811">
        <w:tc>
          <w:tcPr>
            <w:tcW w:w="3060" w:type="dxa"/>
          </w:tcPr>
          <w:p w:rsidR="00E656DF" w:rsidRDefault="00E656DF" w:rsidP="00E656DF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E656DF" w:rsidRDefault="00E656DF" w:rsidP="00E656DF">
            <w:pPr>
              <w:ind w:left="72" w:right="-694"/>
              <w:jc w:val="both"/>
            </w:pPr>
            <w:r>
              <w:t>Komisijas locekļi:</w:t>
            </w: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B2145C" w:rsidRDefault="00B2145C" w:rsidP="00E656DF">
            <w:pPr>
              <w:ind w:left="72" w:right="-694"/>
              <w:jc w:val="both"/>
            </w:pPr>
          </w:p>
          <w:p w:rsidR="00B2145C" w:rsidRDefault="006E5EEB" w:rsidP="00E656DF">
            <w:pPr>
              <w:ind w:left="72" w:right="-694"/>
              <w:jc w:val="both"/>
            </w:pPr>
            <w:r>
              <w:t>Iepirkumu speciālista palīgs</w:t>
            </w:r>
            <w:r w:rsidR="00B2145C">
              <w:t>:</w:t>
            </w:r>
          </w:p>
        </w:tc>
        <w:tc>
          <w:tcPr>
            <w:tcW w:w="4680" w:type="dxa"/>
            <w:hideMark/>
          </w:tcPr>
          <w:p w:rsidR="00805548" w:rsidRDefault="00805548" w:rsidP="00E656DF">
            <w:pPr>
              <w:jc w:val="both"/>
            </w:pPr>
            <w:r>
              <w:t>Valērijs Bulāns</w:t>
            </w:r>
          </w:p>
          <w:p w:rsidR="006B41FA" w:rsidRDefault="006B41FA" w:rsidP="00E656DF">
            <w:pPr>
              <w:jc w:val="both"/>
            </w:pPr>
            <w:r>
              <w:t>Rita Šteina</w:t>
            </w:r>
          </w:p>
          <w:p w:rsidR="00480548" w:rsidRDefault="00480548" w:rsidP="00E656DF">
            <w:pPr>
              <w:jc w:val="both"/>
            </w:pPr>
            <w:r>
              <w:t>Everita Kāpa</w:t>
            </w:r>
          </w:p>
          <w:p w:rsidR="00E656DF" w:rsidRDefault="00E656DF" w:rsidP="00E656DF">
            <w:pPr>
              <w:jc w:val="both"/>
            </w:pPr>
            <w:r>
              <w:t>Uģis Dambis</w:t>
            </w:r>
          </w:p>
          <w:p w:rsidR="006B41FA" w:rsidRDefault="00805548" w:rsidP="00E656DF">
            <w:pPr>
              <w:jc w:val="both"/>
            </w:pPr>
            <w:r>
              <w:t>Artis Brūvers</w:t>
            </w:r>
          </w:p>
          <w:p w:rsidR="00B2145C" w:rsidRDefault="00B2145C" w:rsidP="00E656DF">
            <w:pPr>
              <w:jc w:val="both"/>
            </w:pPr>
            <w:r>
              <w:t>Halfors Krasts</w:t>
            </w:r>
          </w:p>
          <w:p w:rsidR="00B2145C" w:rsidRDefault="00B2145C" w:rsidP="00E656DF">
            <w:pPr>
              <w:jc w:val="both"/>
            </w:pPr>
            <w:r>
              <w:t>Alīna Liepiņa-</w:t>
            </w:r>
            <w:proofErr w:type="spellStart"/>
            <w:r>
              <w:t>Jākobsone</w:t>
            </w:r>
            <w:proofErr w:type="spellEnd"/>
          </w:p>
          <w:p w:rsidR="00E656DF" w:rsidRDefault="00E656DF" w:rsidP="00E656DF">
            <w:pPr>
              <w:jc w:val="both"/>
            </w:pPr>
          </w:p>
        </w:tc>
      </w:tr>
    </w:tbl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F30832" w:rsidRDefault="00805548" w:rsidP="00F30832">
      <w:pPr>
        <w:ind w:left="709" w:right="26"/>
        <w:jc w:val="both"/>
        <w:rPr>
          <w:color w:val="FF0000"/>
        </w:rPr>
      </w:pPr>
      <w:r>
        <w:t>Ādažu novada domes 2017.gada 22.augusta</w:t>
      </w:r>
      <w:r w:rsidR="00F30832">
        <w:t xml:space="preserve">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="00F30832">
          <w:t>lēmums</w:t>
        </w:r>
      </w:smartTag>
      <w:r>
        <w:t xml:space="preserve"> Nr. 194</w:t>
      </w:r>
      <w:r w:rsidR="00F30832">
        <w:t>.</w:t>
      </w:r>
    </w:p>
    <w:p w:rsidR="000C31E3" w:rsidRDefault="000C31E3" w:rsidP="00B27748">
      <w:pPr>
        <w:ind w:left="720"/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D61D61" w:rsidP="00272811">
      <w:pPr>
        <w:tabs>
          <w:tab w:val="left" w:pos="993"/>
        </w:tabs>
        <w:ind w:left="709"/>
        <w:jc w:val="both"/>
      </w:pPr>
      <w:r>
        <w:t xml:space="preserve">Piedāvājumu atvēršana iepirkumā </w:t>
      </w:r>
      <w:r w:rsidR="00272811" w:rsidRPr="00805548">
        <w:t>„</w:t>
      </w:r>
      <w:proofErr w:type="spellStart"/>
      <w:r w:rsidR="00DB7467" w:rsidRPr="00DB7467">
        <w:rPr>
          <w:bCs/>
        </w:rPr>
        <w:t>Laveru</w:t>
      </w:r>
      <w:proofErr w:type="spellEnd"/>
      <w:r w:rsidR="00DB7467" w:rsidRPr="00DB7467">
        <w:rPr>
          <w:bCs/>
        </w:rPr>
        <w:t xml:space="preserve"> ceļa grants seguma pārbūve</w:t>
      </w:r>
      <w:r w:rsidR="006B68BA" w:rsidRPr="00E77527">
        <w:t>”</w:t>
      </w:r>
      <w:r w:rsidR="00E77527">
        <w:t xml:space="preserve"> </w:t>
      </w:r>
      <w:r w:rsidR="003D1793">
        <w:t>(</w:t>
      </w:r>
      <w:proofErr w:type="spellStart"/>
      <w:r w:rsidR="003D1793">
        <w:t>ID.Nr</w:t>
      </w:r>
      <w:proofErr w:type="spellEnd"/>
      <w:r w:rsidR="003D1793">
        <w:t>.: ĀND 2017</w:t>
      </w:r>
      <w:r w:rsidR="006B68BA">
        <w:t>/</w:t>
      </w:r>
      <w:r w:rsidR="00DB7467">
        <w:t>127</w:t>
      </w:r>
      <w:r w:rsidR="00272811">
        <w:t>)</w:t>
      </w:r>
      <w:r>
        <w:t>, piedāvājumu izvērtēšana</w:t>
      </w:r>
      <w:r w:rsidR="00272811">
        <w:t>.</w:t>
      </w:r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4C592A" w:rsidRDefault="004C592A" w:rsidP="004C592A">
      <w:pPr>
        <w:jc w:val="both"/>
        <w:rPr>
          <w:b/>
        </w:rPr>
      </w:pPr>
      <w:r>
        <w:rPr>
          <w:b/>
        </w:rPr>
        <w:t>Darba gaita:</w:t>
      </w:r>
    </w:p>
    <w:p w:rsidR="000A0978" w:rsidRDefault="000A0978" w:rsidP="004C592A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U. Dambis paraksta apliecinājumu par </w:t>
      </w:r>
      <w:proofErr w:type="spellStart"/>
      <w:r>
        <w:t>neieinteresētību</w:t>
      </w:r>
      <w:proofErr w:type="spellEnd"/>
      <w:r>
        <w:t>.</w:t>
      </w:r>
    </w:p>
    <w:p w:rsidR="004C592A" w:rsidRDefault="004C592A" w:rsidP="004C592A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bookmarkStart w:id="0" w:name="_GoBack"/>
      <w:bookmarkEnd w:id="0"/>
      <w:proofErr w:type="spellStart"/>
      <w:r>
        <w:t>V.Bulāns</w:t>
      </w:r>
      <w:proofErr w:type="spellEnd"/>
      <w:r>
        <w:t xml:space="preserve"> informē, ka piedāvājumu iepirkumā iesniedzis 1 (viens) pretendents.</w:t>
      </w:r>
    </w:p>
    <w:p w:rsidR="004C592A" w:rsidRDefault="004C592A" w:rsidP="004C592A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Komisija atver piedāvājumu</w:t>
      </w:r>
      <w:r w:rsidR="00EE051A">
        <w:t xml:space="preserve">, </w:t>
      </w:r>
      <w:proofErr w:type="spellStart"/>
      <w:r w:rsidR="00EE051A">
        <w:t>V.Bulāns</w:t>
      </w:r>
      <w:proofErr w:type="spellEnd"/>
      <w:r w:rsidR="00EE051A">
        <w:t xml:space="preserve"> nosauc pretendenta</w:t>
      </w:r>
      <w:r>
        <w:t xml:space="preserve"> piedā</w:t>
      </w:r>
      <w:r w:rsidR="00EE051A">
        <w:t xml:space="preserve">vāto </w:t>
      </w:r>
      <w:r>
        <w:t>līgumcen</w:t>
      </w:r>
      <w:r w:rsidR="00EE051A">
        <w:t>u</w:t>
      </w:r>
      <w:r>
        <w:t xml:space="preserve"> un visi komisijas locekļi parakstās uz pretendent</w:t>
      </w:r>
      <w:r w:rsidR="00EE051A">
        <w:t>a</w:t>
      </w:r>
      <w:r>
        <w:t xml:space="preserve"> finanšu piedāvājum</w:t>
      </w:r>
      <w:r w:rsidR="00EE051A">
        <w:t>a</w:t>
      </w:r>
      <w:r>
        <w:t>:</w:t>
      </w:r>
    </w:p>
    <w:p w:rsidR="004C592A" w:rsidRDefault="004C592A" w:rsidP="004C592A">
      <w:pPr>
        <w:pStyle w:val="ListParagraph"/>
        <w:ind w:left="709"/>
        <w:jc w:val="both"/>
      </w:pPr>
    </w:p>
    <w:tbl>
      <w:tblPr>
        <w:tblStyle w:val="TableGrid"/>
        <w:tblW w:w="4907" w:type="dxa"/>
        <w:jc w:val="center"/>
        <w:tblLook w:val="04A0" w:firstRow="1" w:lastRow="0" w:firstColumn="1" w:lastColumn="0" w:noHBand="0" w:noVBand="1"/>
      </w:tblPr>
      <w:tblGrid>
        <w:gridCol w:w="796"/>
        <w:gridCol w:w="2398"/>
        <w:gridCol w:w="1713"/>
      </w:tblGrid>
      <w:tr w:rsidR="00EE051A" w:rsidRPr="007E2ED0" w:rsidTr="00EE051A">
        <w:trPr>
          <w:jc w:val="center"/>
        </w:trPr>
        <w:tc>
          <w:tcPr>
            <w:tcW w:w="796" w:type="dxa"/>
            <w:shd w:val="clear" w:color="auto" w:fill="D6E3BC" w:themeFill="accent3" w:themeFillTint="66"/>
          </w:tcPr>
          <w:p w:rsidR="00EE051A" w:rsidRPr="007E2ED0" w:rsidRDefault="00EE051A" w:rsidP="00DC6FCC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398" w:type="dxa"/>
            <w:shd w:val="clear" w:color="auto" w:fill="D6E3BC" w:themeFill="accent3" w:themeFillTint="66"/>
          </w:tcPr>
          <w:p w:rsidR="00EE051A" w:rsidRPr="007E2ED0" w:rsidRDefault="00EE051A" w:rsidP="00DC6FCC">
            <w:pPr>
              <w:pStyle w:val="ListParagraph"/>
              <w:ind w:left="0"/>
              <w:jc w:val="both"/>
              <w:rPr>
                <w:b/>
              </w:rPr>
            </w:pPr>
            <w:r w:rsidRPr="007E2ED0">
              <w:rPr>
                <w:b/>
              </w:rPr>
              <w:t>Pretendents:</w:t>
            </w:r>
          </w:p>
        </w:tc>
        <w:tc>
          <w:tcPr>
            <w:tcW w:w="1713" w:type="dxa"/>
            <w:shd w:val="clear" w:color="auto" w:fill="D6E3BC" w:themeFill="accent3" w:themeFillTint="66"/>
          </w:tcPr>
          <w:p w:rsidR="00EE051A" w:rsidRDefault="00EE051A" w:rsidP="00DC6FCC">
            <w:pPr>
              <w:pStyle w:val="ListParagraph"/>
              <w:ind w:left="0"/>
              <w:jc w:val="center"/>
              <w:rPr>
                <w:b/>
              </w:rPr>
            </w:pPr>
            <w:r w:rsidRPr="007E2ED0">
              <w:rPr>
                <w:b/>
              </w:rPr>
              <w:t xml:space="preserve">Piedāvātā līgumcena </w:t>
            </w:r>
          </w:p>
          <w:p w:rsidR="00EE051A" w:rsidRPr="007E2ED0" w:rsidRDefault="00EE051A" w:rsidP="00DC6FC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bez PVN</w:t>
            </w:r>
          </w:p>
        </w:tc>
      </w:tr>
      <w:tr w:rsidR="00EE051A" w:rsidTr="00EE051A">
        <w:trPr>
          <w:jc w:val="center"/>
        </w:trPr>
        <w:tc>
          <w:tcPr>
            <w:tcW w:w="796" w:type="dxa"/>
          </w:tcPr>
          <w:p w:rsidR="00EE051A" w:rsidRDefault="00EE051A" w:rsidP="004C592A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2398" w:type="dxa"/>
          </w:tcPr>
          <w:p w:rsidR="00EE051A" w:rsidRPr="003E4DE0" w:rsidRDefault="00EE051A" w:rsidP="00DC6FC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Pilnsabiedrība “VT KUUM”</w:t>
            </w:r>
          </w:p>
        </w:tc>
        <w:tc>
          <w:tcPr>
            <w:tcW w:w="1713" w:type="dxa"/>
          </w:tcPr>
          <w:p w:rsidR="00EE051A" w:rsidRDefault="00EE051A" w:rsidP="00DC6FCC">
            <w:pPr>
              <w:pStyle w:val="ListParagraph"/>
              <w:ind w:left="0"/>
              <w:jc w:val="center"/>
            </w:pPr>
            <w:r>
              <w:t>353383,24</w:t>
            </w:r>
          </w:p>
        </w:tc>
      </w:tr>
    </w:tbl>
    <w:p w:rsidR="004C592A" w:rsidRDefault="004C592A" w:rsidP="004C592A">
      <w:pPr>
        <w:pStyle w:val="ListParagraph"/>
        <w:ind w:left="709"/>
        <w:jc w:val="both"/>
      </w:pPr>
    </w:p>
    <w:p w:rsidR="004C592A" w:rsidRDefault="004C592A" w:rsidP="004C592A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Komisija uzsāk pretendent</w:t>
      </w:r>
      <w:r w:rsidR="00EE051A">
        <w:t>a</w:t>
      </w:r>
      <w:r>
        <w:t xml:space="preserve"> piedāvājum</w:t>
      </w:r>
      <w:r w:rsidR="00EE051A">
        <w:t>a</w:t>
      </w:r>
      <w:r>
        <w:t xml:space="preserve"> izvērtēšanu.</w:t>
      </w:r>
    </w:p>
    <w:p w:rsidR="00EE051A" w:rsidRDefault="00EE051A" w:rsidP="004C592A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Komisija secina, ka pretendenta iesniegtais </w:t>
      </w:r>
      <w:r w:rsidR="004B7CBF">
        <w:t xml:space="preserve">finanšu </w:t>
      </w:r>
      <w:r>
        <w:t xml:space="preserve">piedāvājums ievērojami pārsniedz </w:t>
      </w:r>
      <w:r w:rsidR="004B7CBF">
        <w:t>piemērotās iepirkuma procedūras (Publisko iepirkumu likuma 9.pants) līgumcenas slieksni.</w:t>
      </w:r>
    </w:p>
    <w:p w:rsidR="004B7CBF" w:rsidRDefault="004B7CBF" w:rsidP="004C592A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lastRenderedPageBreak/>
        <w:t>Komisija apspriež radušos situāciju un secina,</w:t>
      </w:r>
      <w:r w:rsidR="00D12339">
        <w:t xml:space="preserve"> ka konkrētā iepirkuma ietvaros nav juridiski iespējama finanšu saistību uzņemšanās par summu, kas pārsniedz 170000 EUR bez PVN, tādējādi iepirkums ir izbeidzams bez rezultāta un ir iz</w:t>
      </w:r>
      <w:r w:rsidR="00412078">
        <w:t xml:space="preserve">sludināms atkārtots iepirkums, </w:t>
      </w:r>
      <w:r w:rsidR="00D12339">
        <w:t xml:space="preserve">piemērojot </w:t>
      </w:r>
      <w:r>
        <w:t>atklāta konkursa iepirkuma procedūr</w:t>
      </w:r>
      <w:r w:rsidR="00D12339">
        <w:t xml:space="preserve">u. </w:t>
      </w:r>
    </w:p>
    <w:p w:rsidR="00272811" w:rsidRDefault="00272811" w:rsidP="00272811">
      <w:pPr>
        <w:ind w:firstLine="720"/>
        <w:jc w:val="both"/>
      </w:pPr>
    </w:p>
    <w:p w:rsidR="00272811" w:rsidRDefault="00272811" w:rsidP="000C31E3">
      <w:pPr>
        <w:shd w:val="clear" w:color="auto" w:fill="DBE5F1" w:themeFill="accent1" w:themeFillTint="33"/>
        <w:jc w:val="both"/>
        <w:rPr>
          <w:b/>
          <w:bCs/>
        </w:rPr>
      </w:pPr>
      <w:r>
        <w:rPr>
          <w:b/>
          <w:bCs/>
        </w:rPr>
        <w:t xml:space="preserve">Komisija </w:t>
      </w:r>
      <w:r w:rsidR="00412078"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272811" w:rsidRPr="00533F59" w:rsidRDefault="00412078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pārtraukt iepirkumu</w:t>
      </w:r>
      <w:r w:rsidR="00272811">
        <w:t xml:space="preserve"> </w:t>
      </w:r>
      <w:r w:rsidR="001C7727" w:rsidRPr="00805548">
        <w:t>„</w:t>
      </w:r>
      <w:proofErr w:type="spellStart"/>
      <w:r w:rsidR="001C7727" w:rsidRPr="00DB7467">
        <w:rPr>
          <w:bCs/>
        </w:rPr>
        <w:t>Laveru</w:t>
      </w:r>
      <w:proofErr w:type="spellEnd"/>
      <w:r w:rsidR="001C7727" w:rsidRPr="00DB7467">
        <w:rPr>
          <w:bCs/>
        </w:rPr>
        <w:t xml:space="preserve"> ceļa grants seguma pārbūve</w:t>
      </w:r>
      <w:r w:rsidR="001C7727" w:rsidRPr="00E77527">
        <w:t>”</w:t>
      </w:r>
      <w:r w:rsidR="001C7727">
        <w:t xml:space="preserve"> (</w:t>
      </w:r>
      <w:proofErr w:type="spellStart"/>
      <w:r w:rsidR="001C7727">
        <w:t>ID.Nr</w:t>
      </w:r>
      <w:proofErr w:type="spellEnd"/>
      <w:r w:rsidR="001C7727">
        <w:t>.: ĀND 2017/127)</w:t>
      </w:r>
      <w:r>
        <w:t>, nepiešķirot līguma slēgšanas tiesības;</w:t>
      </w:r>
    </w:p>
    <w:p w:rsidR="00412078" w:rsidRDefault="00412078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organizēt atkārtotu iepirkumu, piemērojot tam atklāta konkursa procedūru;</w:t>
      </w:r>
    </w:p>
    <w:p w:rsidR="00533F59" w:rsidRDefault="00412078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proofErr w:type="spellStart"/>
      <w:r>
        <w:t>A.Liepiņai-Jākobsonei</w:t>
      </w:r>
      <w:proofErr w:type="spellEnd"/>
      <w:r>
        <w:t xml:space="preserve"> paziņot par pieņemto lēmumu pretendentam (pilnsabiedrībai “VT KUUM”) un publicēt informāciju IUB un ĀND mājaslapās.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8C4B3C">
        <w:t>ekšsēdētājs</w:t>
      </w:r>
      <w:r w:rsidR="00E14B63">
        <w:t xml:space="preserve"> sēdi </w:t>
      </w:r>
      <w:r w:rsidR="00695D72">
        <w:t>slēdz plkst. 11</w:t>
      </w:r>
      <w:r w:rsidR="00533F59">
        <w:t>:</w:t>
      </w:r>
      <w:r w:rsidR="00695D72">
        <w:t>0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  </w:t>
      </w:r>
    </w:p>
    <w:p w:rsidR="000A0978" w:rsidRDefault="000A0978" w:rsidP="00023654">
      <w:pPr>
        <w:numPr>
          <w:ilvl w:val="0"/>
          <w:numId w:val="2"/>
        </w:numPr>
        <w:ind w:hanging="720"/>
        <w:jc w:val="both"/>
      </w:pPr>
      <w:r>
        <w:t>Cenu reģistrācijas lapa;</w:t>
      </w:r>
    </w:p>
    <w:p w:rsidR="000A0978" w:rsidRDefault="000A0978" w:rsidP="00023654">
      <w:pPr>
        <w:numPr>
          <w:ilvl w:val="0"/>
          <w:numId w:val="2"/>
        </w:numPr>
        <w:ind w:hanging="720"/>
        <w:jc w:val="both"/>
      </w:pPr>
      <w:r>
        <w:t xml:space="preserve">U. Dambja apliecinājums par </w:t>
      </w:r>
      <w:proofErr w:type="spellStart"/>
      <w:r>
        <w:t>neieinteresētību</w:t>
      </w:r>
      <w:proofErr w:type="spellEnd"/>
      <w:r>
        <w:t>:</w:t>
      </w:r>
    </w:p>
    <w:p w:rsidR="00272811" w:rsidRDefault="002A54C7" w:rsidP="00023654">
      <w:pPr>
        <w:numPr>
          <w:ilvl w:val="0"/>
          <w:numId w:val="2"/>
        </w:numPr>
        <w:ind w:hanging="720"/>
        <w:jc w:val="both"/>
      </w:pPr>
      <w:r>
        <w:t>Publikāciju izdrukas no ĀND un</w:t>
      </w:r>
      <w:r w:rsidR="008A2CC0">
        <w:t xml:space="preserve"> </w:t>
      </w:r>
      <w:r w:rsidR="00272811">
        <w:t xml:space="preserve">IUB </w:t>
      </w:r>
      <w:r w:rsidR="008A2CC0">
        <w:t>mājaslapām</w:t>
      </w:r>
      <w:r w:rsidR="00695D72">
        <w:t>;</w:t>
      </w:r>
    </w:p>
    <w:p w:rsidR="00695D72" w:rsidRDefault="00695D72" w:rsidP="00023654">
      <w:pPr>
        <w:numPr>
          <w:ilvl w:val="0"/>
          <w:numId w:val="2"/>
        </w:numPr>
        <w:ind w:hanging="720"/>
        <w:jc w:val="both"/>
      </w:pPr>
      <w:r>
        <w:t>INFO vēstule par iepirkuma rezultātiem.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E14B63" w:rsidRDefault="00120ACA" w:rsidP="00E14B63">
      <w:pPr>
        <w:ind w:right="-694"/>
        <w:jc w:val="both"/>
      </w:pPr>
      <w:r>
        <w:t>Ko</w:t>
      </w:r>
      <w:r w:rsidR="008C4B3C">
        <w:t>misijas priekšsēdētājs</w:t>
      </w:r>
      <w:r>
        <w:t>:</w:t>
      </w:r>
      <w:r w:rsidR="008C4B3C">
        <w:tab/>
      </w:r>
      <w:r>
        <w:t xml:space="preserve"> </w:t>
      </w:r>
      <w:r>
        <w:tab/>
      </w:r>
      <w:r w:rsidR="00E14B63">
        <w:t>_____________________</w:t>
      </w:r>
      <w:r w:rsidR="00E14B63">
        <w:tab/>
      </w:r>
      <w:r w:rsidR="008C4B3C">
        <w:t>V. Bulāns</w:t>
      </w:r>
      <w:r w:rsidR="00E14B63">
        <w:t xml:space="preserve"> </w:t>
      </w:r>
    </w:p>
    <w:p w:rsidR="00E14B63" w:rsidRDefault="00E14B63" w:rsidP="00E14B63">
      <w:pPr>
        <w:ind w:right="-694"/>
        <w:jc w:val="both"/>
      </w:pPr>
    </w:p>
    <w:p w:rsidR="00097C01" w:rsidRDefault="00E14B63" w:rsidP="000B4CF5">
      <w:pPr>
        <w:ind w:right="-694"/>
        <w:jc w:val="both"/>
      </w:pPr>
      <w:r>
        <w:t>Komisijas locekļi:</w:t>
      </w:r>
      <w:r>
        <w:tab/>
      </w:r>
      <w:r w:rsidR="00097C01">
        <w:tab/>
      </w:r>
      <w:r w:rsidR="00097C01">
        <w:tab/>
        <w:t>_____________________</w:t>
      </w:r>
      <w:r w:rsidR="00097C01">
        <w:tab/>
      </w:r>
      <w:r w:rsidR="008C4B3C">
        <w:t>R. Šteina</w:t>
      </w:r>
    </w:p>
    <w:p w:rsidR="008C4B3C" w:rsidRDefault="008C4B3C" w:rsidP="000B4CF5">
      <w:pPr>
        <w:ind w:right="-694"/>
        <w:jc w:val="both"/>
      </w:pPr>
    </w:p>
    <w:p w:rsidR="008C4B3C" w:rsidRDefault="008C4B3C" w:rsidP="000B4CF5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E14B63" w:rsidRDefault="00E14B63" w:rsidP="00E14B63"/>
    <w:p w:rsidR="00E14B63" w:rsidRDefault="00E14B63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284A5E" w:rsidRDefault="00284A5E" w:rsidP="00E14B63"/>
    <w:p w:rsidR="00284A5E" w:rsidRDefault="00284A5E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8C4B3C">
        <w:t>A. Brūvers</w:t>
      </w:r>
    </w:p>
    <w:p w:rsidR="00FC6BB4" w:rsidRDefault="00FC6BB4" w:rsidP="00E14B63"/>
    <w:p w:rsidR="00FC6BB4" w:rsidRDefault="00FC6BB4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FC6BB4" w:rsidRDefault="00FC6BB4" w:rsidP="00E14B63"/>
    <w:p w:rsidR="00FC6BB4" w:rsidRDefault="00FC6BB4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A. Liepiņa-</w:t>
      </w:r>
      <w:proofErr w:type="spellStart"/>
      <w:r>
        <w:t>Jākobsone</w:t>
      </w:r>
      <w:proofErr w:type="spellEnd"/>
    </w:p>
    <w:p w:rsidR="00E14B63" w:rsidRDefault="00E14B63" w:rsidP="00E14B63"/>
    <w:p w:rsidR="00B5557C" w:rsidRDefault="00B5557C" w:rsidP="00272811"/>
    <w:p w:rsidR="00272811" w:rsidRDefault="00B5557C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/>
    <w:p w:rsidR="006B6501" w:rsidRDefault="006B6501"/>
    <w:sectPr w:rsidR="006B6501" w:rsidSect="00FC6BB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E14"/>
    <w:multiLevelType w:val="hybridMultilevel"/>
    <w:tmpl w:val="6B143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23654"/>
    <w:rsid w:val="0009587F"/>
    <w:rsid w:val="00097C01"/>
    <w:rsid w:val="000A0978"/>
    <w:rsid w:val="000B0B2D"/>
    <w:rsid w:val="000B4CF5"/>
    <w:rsid w:val="000C04A9"/>
    <w:rsid w:val="000C31E3"/>
    <w:rsid w:val="00120ACA"/>
    <w:rsid w:val="001464BD"/>
    <w:rsid w:val="00146516"/>
    <w:rsid w:val="001C7727"/>
    <w:rsid w:val="001D5B3D"/>
    <w:rsid w:val="001E56B8"/>
    <w:rsid w:val="001F4577"/>
    <w:rsid w:val="0020090F"/>
    <w:rsid w:val="002716BB"/>
    <w:rsid w:val="00272811"/>
    <w:rsid w:val="0028398C"/>
    <w:rsid w:val="00284A5E"/>
    <w:rsid w:val="002A1C45"/>
    <w:rsid w:val="002A54C7"/>
    <w:rsid w:val="002A72D5"/>
    <w:rsid w:val="003241BF"/>
    <w:rsid w:val="00347760"/>
    <w:rsid w:val="00381801"/>
    <w:rsid w:val="003C5717"/>
    <w:rsid w:val="003D1793"/>
    <w:rsid w:val="003D52F4"/>
    <w:rsid w:val="003D78D5"/>
    <w:rsid w:val="003E6729"/>
    <w:rsid w:val="00412078"/>
    <w:rsid w:val="0045036C"/>
    <w:rsid w:val="0045072A"/>
    <w:rsid w:val="00463D9A"/>
    <w:rsid w:val="004671C4"/>
    <w:rsid w:val="00480548"/>
    <w:rsid w:val="00487F2D"/>
    <w:rsid w:val="004B7CBF"/>
    <w:rsid w:val="004C478A"/>
    <w:rsid w:val="004C592A"/>
    <w:rsid w:val="004C6313"/>
    <w:rsid w:val="004E5069"/>
    <w:rsid w:val="00506F43"/>
    <w:rsid w:val="00533F59"/>
    <w:rsid w:val="00553B33"/>
    <w:rsid w:val="00570800"/>
    <w:rsid w:val="005770F2"/>
    <w:rsid w:val="00580D28"/>
    <w:rsid w:val="005913ED"/>
    <w:rsid w:val="005D66B5"/>
    <w:rsid w:val="00600BFE"/>
    <w:rsid w:val="006208C5"/>
    <w:rsid w:val="00650725"/>
    <w:rsid w:val="00695D72"/>
    <w:rsid w:val="006B2C5B"/>
    <w:rsid w:val="006B41FA"/>
    <w:rsid w:val="006B4E61"/>
    <w:rsid w:val="006B6501"/>
    <w:rsid w:val="006B68BA"/>
    <w:rsid w:val="006D295B"/>
    <w:rsid w:val="006E5EEB"/>
    <w:rsid w:val="007079A4"/>
    <w:rsid w:val="00766450"/>
    <w:rsid w:val="00805173"/>
    <w:rsid w:val="00805548"/>
    <w:rsid w:val="0081596C"/>
    <w:rsid w:val="0083447E"/>
    <w:rsid w:val="00844A32"/>
    <w:rsid w:val="00863C22"/>
    <w:rsid w:val="008A2CC0"/>
    <w:rsid w:val="008C3F6F"/>
    <w:rsid w:val="008C4B3C"/>
    <w:rsid w:val="00913B55"/>
    <w:rsid w:val="00977787"/>
    <w:rsid w:val="009B6194"/>
    <w:rsid w:val="009D16A3"/>
    <w:rsid w:val="00A40A9F"/>
    <w:rsid w:val="00A47D1F"/>
    <w:rsid w:val="00A871A3"/>
    <w:rsid w:val="00A871CD"/>
    <w:rsid w:val="00AC5FF4"/>
    <w:rsid w:val="00AE1844"/>
    <w:rsid w:val="00B2145C"/>
    <w:rsid w:val="00B22AAB"/>
    <w:rsid w:val="00B237A0"/>
    <w:rsid w:val="00B23A4F"/>
    <w:rsid w:val="00B27748"/>
    <w:rsid w:val="00B30B65"/>
    <w:rsid w:val="00B4068D"/>
    <w:rsid w:val="00B5557C"/>
    <w:rsid w:val="00B80BB2"/>
    <w:rsid w:val="00B95BE5"/>
    <w:rsid w:val="00BD1225"/>
    <w:rsid w:val="00BE3FF2"/>
    <w:rsid w:val="00BE502E"/>
    <w:rsid w:val="00C17C60"/>
    <w:rsid w:val="00C93910"/>
    <w:rsid w:val="00CB1941"/>
    <w:rsid w:val="00D12339"/>
    <w:rsid w:val="00D15748"/>
    <w:rsid w:val="00D61D61"/>
    <w:rsid w:val="00D6257C"/>
    <w:rsid w:val="00DB4A36"/>
    <w:rsid w:val="00DB6C6C"/>
    <w:rsid w:val="00DB7467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EE051A"/>
    <w:rsid w:val="00F05BB7"/>
    <w:rsid w:val="00F30832"/>
    <w:rsid w:val="00FB4200"/>
    <w:rsid w:val="00FC6BB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57188FF-1606-432F-AEA1-51D0C52B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654"/>
    <w:pPr>
      <w:ind w:left="720"/>
      <w:contextualSpacing/>
    </w:pPr>
  </w:style>
  <w:style w:type="table" w:styleId="TableGrid">
    <w:name w:val="Table Grid"/>
    <w:basedOn w:val="TableNormal"/>
    <w:uiPriority w:val="59"/>
    <w:rsid w:val="004C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68</cp:revision>
  <dcterms:created xsi:type="dcterms:W3CDTF">2015-03-19T13:27:00Z</dcterms:created>
  <dcterms:modified xsi:type="dcterms:W3CDTF">2017-12-07T07:27:00Z</dcterms:modified>
</cp:coreProperties>
</file>