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Default="00272811" w:rsidP="00620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3C5717">
        <w:rPr>
          <w:b/>
          <w:sz w:val="28"/>
          <w:szCs w:val="28"/>
        </w:rPr>
        <w:t>Svētku rotājumu piegāde</w:t>
      </w:r>
      <w:r>
        <w:rPr>
          <w:b/>
          <w:sz w:val="28"/>
          <w:szCs w:val="28"/>
        </w:rPr>
        <w:t>”</w:t>
      </w:r>
    </w:p>
    <w:p w:rsidR="00272811" w:rsidRDefault="003C5717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2017/125</w:t>
      </w:r>
      <w:r w:rsidR="00805548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3C5717">
        <w:rPr>
          <w:b/>
        </w:rPr>
        <w:t xml:space="preserve"> Nr.05-30-2017/125</w:t>
      </w:r>
      <w:r w:rsidR="006B2C5B">
        <w:rPr>
          <w:b/>
        </w:rPr>
        <w:t>-</w:t>
      </w:r>
      <w:r w:rsidR="007F78E7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7F78E7">
            <w:pPr>
              <w:jc w:val="right"/>
            </w:pPr>
            <w:r>
              <w:rPr>
                <w:b/>
              </w:rPr>
              <w:t>2017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7F78E7">
              <w:rPr>
                <w:b/>
              </w:rPr>
              <w:t>14</w:t>
            </w:r>
            <w:r w:rsidR="00B2145C">
              <w:rPr>
                <w:b/>
              </w:rPr>
              <w:t>.</w:t>
            </w:r>
            <w:r w:rsidR="007F78E7">
              <w:rPr>
                <w:b/>
              </w:rPr>
              <w:t>novembr</w:t>
            </w:r>
            <w:r w:rsidR="00B2145C">
              <w:rPr>
                <w:b/>
              </w:rPr>
              <w:t>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Heading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E656DF" w:rsidTr="00272811">
        <w:tc>
          <w:tcPr>
            <w:tcW w:w="3060" w:type="dxa"/>
          </w:tcPr>
          <w:p w:rsidR="00E656DF" w:rsidRDefault="00E656DF" w:rsidP="00E656DF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E656DF" w:rsidRDefault="00E656DF" w:rsidP="00E656DF">
            <w:pPr>
              <w:ind w:left="72" w:right="-694"/>
              <w:jc w:val="both"/>
            </w:pPr>
            <w:r>
              <w:t>Komisijas locekļi:</w:t>
            </w: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B2145C" w:rsidRDefault="00B2145C" w:rsidP="00E656DF">
            <w:pPr>
              <w:ind w:left="72" w:right="-694"/>
              <w:jc w:val="both"/>
            </w:pPr>
          </w:p>
          <w:p w:rsidR="00B2145C" w:rsidRDefault="006E5EEB" w:rsidP="00E656DF">
            <w:pPr>
              <w:ind w:left="72" w:right="-694"/>
              <w:jc w:val="both"/>
            </w:pPr>
            <w:r>
              <w:t>Iepirkumu speciālista palīgs</w:t>
            </w:r>
            <w:r w:rsidR="00B2145C">
              <w:t>:</w:t>
            </w:r>
          </w:p>
        </w:tc>
        <w:tc>
          <w:tcPr>
            <w:tcW w:w="4680" w:type="dxa"/>
            <w:hideMark/>
          </w:tcPr>
          <w:p w:rsidR="00805548" w:rsidRDefault="00805548" w:rsidP="00E656DF">
            <w:pPr>
              <w:jc w:val="both"/>
            </w:pPr>
            <w:r>
              <w:t>Valērijs Bulāns</w:t>
            </w:r>
          </w:p>
          <w:p w:rsidR="006B41FA" w:rsidRDefault="006B41FA" w:rsidP="00E656DF">
            <w:pPr>
              <w:jc w:val="both"/>
            </w:pPr>
            <w:r>
              <w:t>Rita Šteina</w:t>
            </w:r>
          </w:p>
          <w:p w:rsidR="00480548" w:rsidRDefault="00480548" w:rsidP="00E656DF">
            <w:pPr>
              <w:jc w:val="both"/>
            </w:pPr>
            <w:r>
              <w:t>Everita Kāpa</w:t>
            </w:r>
          </w:p>
          <w:p w:rsidR="00E656DF" w:rsidRDefault="00E656DF" w:rsidP="00E656DF">
            <w:pPr>
              <w:jc w:val="both"/>
            </w:pPr>
            <w:r>
              <w:t>Uģis Dambis</w:t>
            </w:r>
          </w:p>
          <w:p w:rsidR="006B41FA" w:rsidRDefault="00805548" w:rsidP="00E656DF">
            <w:pPr>
              <w:jc w:val="both"/>
            </w:pPr>
            <w:r>
              <w:t>Artis Brūvers</w:t>
            </w:r>
          </w:p>
          <w:p w:rsidR="00B2145C" w:rsidRDefault="00B2145C" w:rsidP="00E656DF">
            <w:pPr>
              <w:jc w:val="both"/>
            </w:pPr>
            <w:r>
              <w:t>Halfors Krasts</w:t>
            </w:r>
          </w:p>
          <w:p w:rsidR="00B2145C" w:rsidRDefault="00B2145C" w:rsidP="00E656DF">
            <w:pPr>
              <w:jc w:val="both"/>
            </w:pPr>
            <w:r>
              <w:t>Alīna Liepiņa-Jākobsone</w:t>
            </w:r>
          </w:p>
          <w:p w:rsidR="00E656DF" w:rsidRDefault="00E656DF" w:rsidP="00E656DF">
            <w:pPr>
              <w:jc w:val="both"/>
            </w:pP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F30832" w:rsidRDefault="00805548" w:rsidP="00F30832">
      <w:pPr>
        <w:ind w:left="709" w:right="26"/>
        <w:jc w:val="both"/>
        <w:rPr>
          <w:color w:val="FF0000"/>
        </w:rPr>
      </w:pPr>
      <w:r>
        <w:t>Ādažu novada domes 2017.gada 22.augusta</w:t>
      </w:r>
      <w:r w:rsidR="00F30832">
        <w:t xml:space="preserve">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="00F30832">
          <w:t>lēmums</w:t>
        </w:r>
      </w:smartTag>
      <w:r>
        <w:t xml:space="preserve"> Nr. 194</w:t>
      </w:r>
      <w:r w:rsidR="00F30832">
        <w:t>.</w:t>
      </w: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9A7C25" w:rsidP="00272811">
      <w:pPr>
        <w:tabs>
          <w:tab w:val="left" w:pos="993"/>
        </w:tabs>
        <w:ind w:left="709"/>
        <w:jc w:val="both"/>
      </w:pPr>
      <w:r>
        <w:t>Piedāvājumu atvēršana un izvērtēšana iepirkumā</w:t>
      </w:r>
      <w:r w:rsidR="00272811">
        <w:t xml:space="preserve"> </w:t>
      </w:r>
      <w:r w:rsidR="00272811" w:rsidRPr="00805548">
        <w:t>„</w:t>
      </w:r>
      <w:r w:rsidR="003C5717">
        <w:t>Svētku rotājumu piegāde</w:t>
      </w:r>
      <w:r w:rsidR="006B68BA" w:rsidRPr="00E77527">
        <w:t>”</w:t>
      </w:r>
      <w:r w:rsidR="00E77527">
        <w:t xml:space="preserve"> </w:t>
      </w:r>
      <w:r w:rsidR="003D1793">
        <w:t>(ID.Nr.: ĀND 2017</w:t>
      </w:r>
      <w:r w:rsidR="006B68BA">
        <w:t>/</w:t>
      </w:r>
      <w:r w:rsidR="003C5717">
        <w:t>125</w:t>
      </w:r>
      <w:r w:rsidR="00272811">
        <w:t>)</w:t>
      </w:r>
      <w:bookmarkStart w:id="0" w:name="_GoBack"/>
      <w:bookmarkEnd w:id="0"/>
      <w:r w:rsidR="00272811">
        <w:t>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9E2847" w:rsidRDefault="009E2847" w:rsidP="009E2847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V.Bulāns informē, ka piedāvājumus iepirkumā iesnieguši 2 (divi) pretendenti.</w:t>
      </w:r>
    </w:p>
    <w:p w:rsidR="009E2847" w:rsidRDefault="009E2847" w:rsidP="009E2847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Komisija atver piedāvājumus to iesniegšanas secībā, V.Bulāns nosauc pretendentu piedāvājumu </w:t>
      </w:r>
      <w:r w:rsidR="00054158">
        <w:t>līgumcenas</w:t>
      </w:r>
      <w:proofErr w:type="gramStart"/>
      <w:r w:rsidR="00054158">
        <w:t xml:space="preserve"> </w:t>
      </w:r>
      <w:r>
        <w:t>un</w:t>
      </w:r>
      <w:proofErr w:type="gramEnd"/>
      <w:r>
        <w:t xml:space="preserve"> visi komisijas locekļi parakstās uz pretendentu finanšu piedāvājumiem:</w:t>
      </w:r>
    </w:p>
    <w:p w:rsidR="009E2847" w:rsidRDefault="009E2847" w:rsidP="009E2847">
      <w:pPr>
        <w:pStyle w:val="ListParagraph"/>
        <w:ind w:left="709"/>
        <w:jc w:val="both"/>
      </w:pPr>
    </w:p>
    <w:tbl>
      <w:tblPr>
        <w:tblStyle w:val="TableGrid"/>
        <w:tblW w:w="8333" w:type="dxa"/>
        <w:jc w:val="center"/>
        <w:tblInd w:w="883" w:type="dxa"/>
        <w:tblLook w:val="04A0" w:firstRow="1" w:lastRow="0" w:firstColumn="1" w:lastColumn="0" w:noHBand="0" w:noVBand="1"/>
      </w:tblPr>
      <w:tblGrid>
        <w:gridCol w:w="796"/>
        <w:gridCol w:w="2398"/>
        <w:gridCol w:w="1713"/>
        <w:gridCol w:w="1713"/>
        <w:gridCol w:w="1713"/>
      </w:tblGrid>
      <w:tr w:rsidR="009E2847" w:rsidRPr="007E2ED0" w:rsidTr="009E2847">
        <w:trPr>
          <w:jc w:val="center"/>
        </w:trPr>
        <w:tc>
          <w:tcPr>
            <w:tcW w:w="796" w:type="dxa"/>
            <w:shd w:val="clear" w:color="auto" w:fill="D6E3BC" w:themeFill="accent3" w:themeFillTint="66"/>
          </w:tcPr>
          <w:p w:rsidR="009E2847" w:rsidRPr="007E2ED0" w:rsidRDefault="009E2847" w:rsidP="00590A7B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D6E3BC" w:themeFill="accent3" w:themeFillTint="66"/>
          </w:tcPr>
          <w:p w:rsidR="009E2847" w:rsidRPr="007E2ED0" w:rsidRDefault="009E2847" w:rsidP="00590A7B">
            <w:pPr>
              <w:pStyle w:val="ListParagraph"/>
              <w:ind w:left="0"/>
              <w:jc w:val="both"/>
              <w:rPr>
                <w:b/>
              </w:rPr>
            </w:pPr>
            <w:r w:rsidRPr="007E2ED0">
              <w:rPr>
                <w:b/>
              </w:rPr>
              <w:t>Pretendents:</w:t>
            </w:r>
          </w:p>
        </w:tc>
        <w:tc>
          <w:tcPr>
            <w:tcW w:w="1713" w:type="dxa"/>
            <w:shd w:val="clear" w:color="auto" w:fill="D6E3BC" w:themeFill="accent3" w:themeFillTint="66"/>
          </w:tcPr>
          <w:p w:rsidR="009E2847" w:rsidRDefault="009E2847" w:rsidP="009E2847">
            <w:pPr>
              <w:pStyle w:val="ListParagraph"/>
              <w:ind w:left="0"/>
              <w:jc w:val="center"/>
              <w:rPr>
                <w:b/>
              </w:rPr>
            </w:pPr>
            <w:r w:rsidRPr="007E2ED0">
              <w:rPr>
                <w:b/>
              </w:rPr>
              <w:t xml:space="preserve">Piedāvātā līgumcena </w:t>
            </w:r>
            <w:r>
              <w:rPr>
                <w:b/>
              </w:rPr>
              <w:t>1.lotē</w:t>
            </w:r>
          </w:p>
          <w:p w:rsidR="009E2847" w:rsidRPr="007E2ED0" w:rsidRDefault="009E2847" w:rsidP="009E284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bez PVN</w:t>
            </w:r>
          </w:p>
        </w:tc>
        <w:tc>
          <w:tcPr>
            <w:tcW w:w="1713" w:type="dxa"/>
            <w:shd w:val="clear" w:color="auto" w:fill="D6E3BC" w:themeFill="accent3" w:themeFillTint="66"/>
          </w:tcPr>
          <w:p w:rsidR="009E2847" w:rsidRDefault="009E2847" w:rsidP="009E2847">
            <w:pPr>
              <w:pStyle w:val="ListParagraph"/>
              <w:ind w:left="0"/>
              <w:jc w:val="center"/>
              <w:rPr>
                <w:b/>
              </w:rPr>
            </w:pPr>
            <w:r w:rsidRPr="007E2ED0">
              <w:rPr>
                <w:b/>
              </w:rPr>
              <w:t xml:space="preserve">Piedāvātā līgumcena </w:t>
            </w:r>
            <w:r>
              <w:rPr>
                <w:b/>
              </w:rPr>
              <w:t>2.lotē</w:t>
            </w:r>
          </w:p>
          <w:p w:rsidR="009E2847" w:rsidRPr="007E2ED0" w:rsidRDefault="009E2847" w:rsidP="009E284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bez PVN</w:t>
            </w:r>
          </w:p>
        </w:tc>
        <w:tc>
          <w:tcPr>
            <w:tcW w:w="1713" w:type="dxa"/>
            <w:shd w:val="clear" w:color="auto" w:fill="D6E3BC" w:themeFill="accent3" w:themeFillTint="66"/>
          </w:tcPr>
          <w:p w:rsidR="009E2847" w:rsidRDefault="009E2847" w:rsidP="009E2847">
            <w:pPr>
              <w:pStyle w:val="ListParagraph"/>
              <w:ind w:left="0"/>
              <w:jc w:val="center"/>
              <w:rPr>
                <w:b/>
              </w:rPr>
            </w:pPr>
            <w:r w:rsidRPr="007E2ED0">
              <w:rPr>
                <w:b/>
              </w:rPr>
              <w:t xml:space="preserve">Piedāvātā līgumcena </w:t>
            </w:r>
            <w:r>
              <w:rPr>
                <w:b/>
              </w:rPr>
              <w:t>3.lotē</w:t>
            </w:r>
          </w:p>
          <w:p w:rsidR="009E2847" w:rsidRPr="007E2ED0" w:rsidRDefault="009E2847" w:rsidP="009E284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bez PVN</w:t>
            </w:r>
          </w:p>
        </w:tc>
      </w:tr>
      <w:tr w:rsidR="009E2847" w:rsidTr="009E2847">
        <w:trPr>
          <w:jc w:val="center"/>
        </w:trPr>
        <w:tc>
          <w:tcPr>
            <w:tcW w:w="796" w:type="dxa"/>
          </w:tcPr>
          <w:p w:rsidR="009E2847" w:rsidRDefault="009E2847" w:rsidP="009E284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21"/>
              </w:tabs>
              <w:jc w:val="both"/>
            </w:pPr>
          </w:p>
        </w:tc>
        <w:tc>
          <w:tcPr>
            <w:tcW w:w="2398" w:type="dxa"/>
          </w:tcPr>
          <w:p w:rsidR="009E2847" w:rsidRPr="003E4DE0" w:rsidRDefault="00453F55" w:rsidP="00453F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Aktiaselts</w:t>
            </w:r>
            <w:proofErr w:type="spellEnd"/>
            <w:r>
              <w:rPr>
                <w:b/>
              </w:rPr>
              <w:t xml:space="preserve"> ADAM </w:t>
            </w:r>
            <w:proofErr w:type="spellStart"/>
            <w:r>
              <w:rPr>
                <w:b/>
              </w:rPr>
              <w:t>Bd</w:t>
            </w:r>
            <w:proofErr w:type="spellEnd"/>
            <w:r>
              <w:rPr>
                <w:b/>
              </w:rPr>
              <w:t xml:space="preserve"> filiāle “</w:t>
            </w:r>
            <w:proofErr w:type="spellStart"/>
            <w:r>
              <w:rPr>
                <w:b/>
              </w:rPr>
              <w:t>Adam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Decolight</w:t>
            </w:r>
            <w:proofErr w:type="spellEnd"/>
            <w:r>
              <w:rPr>
                <w:b/>
              </w:rPr>
              <w:t xml:space="preserve"> Latvija”</w:t>
            </w:r>
          </w:p>
        </w:tc>
        <w:tc>
          <w:tcPr>
            <w:tcW w:w="1713" w:type="dxa"/>
          </w:tcPr>
          <w:p w:rsidR="009E2847" w:rsidRDefault="00054158" w:rsidP="00054158">
            <w:pPr>
              <w:pStyle w:val="ListParagraph"/>
              <w:ind w:left="0"/>
              <w:jc w:val="center"/>
            </w:pPr>
            <w:r>
              <w:t>6604,20</w:t>
            </w:r>
          </w:p>
        </w:tc>
        <w:tc>
          <w:tcPr>
            <w:tcW w:w="1713" w:type="dxa"/>
          </w:tcPr>
          <w:p w:rsidR="009E2847" w:rsidRDefault="00054158" w:rsidP="00054158">
            <w:pPr>
              <w:pStyle w:val="ListParagraph"/>
              <w:ind w:left="0"/>
              <w:jc w:val="center"/>
            </w:pPr>
            <w:r>
              <w:t>1427,70</w:t>
            </w:r>
          </w:p>
        </w:tc>
        <w:tc>
          <w:tcPr>
            <w:tcW w:w="1713" w:type="dxa"/>
          </w:tcPr>
          <w:p w:rsidR="009E2847" w:rsidRDefault="00054158" w:rsidP="00054158">
            <w:pPr>
              <w:pStyle w:val="ListParagraph"/>
              <w:ind w:left="0"/>
              <w:jc w:val="center"/>
            </w:pPr>
            <w:r>
              <w:t>4325,80</w:t>
            </w:r>
          </w:p>
        </w:tc>
      </w:tr>
      <w:tr w:rsidR="009E2847" w:rsidTr="009E2847">
        <w:trPr>
          <w:jc w:val="center"/>
        </w:trPr>
        <w:tc>
          <w:tcPr>
            <w:tcW w:w="796" w:type="dxa"/>
          </w:tcPr>
          <w:p w:rsidR="009E2847" w:rsidRDefault="009E2847" w:rsidP="009E284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2398" w:type="dxa"/>
          </w:tcPr>
          <w:p w:rsidR="009E2847" w:rsidRPr="003E4DE0" w:rsidRDefault="00453F55" w:rsidP="00590A7B">
            <w:pPr>
              <w:pStyle w:val="ListParagraph"/>
              <w:ind w:left="0"/>
              <w:jc w:val="both"/>
              <w:rPr>
                <w:b/>
              </w:rPr>
            </w:pPr>
            <w:r w:rsidRPr="003E4DE0">
              <w:rPr>
                <w:b/>
              </w:rPr>
              <w:t>SIA “</w:t>
            </w:r>
            <w:r>
              <w:rPr>
                <w:b/>
              </w:rPr>
              <w:t>AM noma</w:t>
            </w:r>
            <w:r w:rsidRPr="003E4DE0">
              <w:rPr>
                <w:b/>
              </w:rPr>
              <w:t>”</w:t>
            </w:r>
          </w:p>
        </w:tc>
        <w:tc>
          <w:tcPr>
            <w:tcW w:w="1713" w:type="dxa"/>
          </w:tcPr>
          <w:p w:rsidR="009E2847" w:rsidRDefault="00054158" w:rsidP="00054158">
            <w:pPr>
              <w:pStyle w:val="ListParagraph"/>
              <w:ind w:left="0"/>
              <w:jc w:val="center"/>
            </w:pPr>
            <w:r>
              <w:t>6195,20</w:t>
            </w:r>
          </w:p>
        </w:tc>
        <w:tc>
          <w:tcPr>
            <w:tcW w:w="1713" w:type="dxa"/>
          </w:tcPr>
          <w:p w:rsidR="009E2847" w:rsidRDefault="00054158" w:rsidP="00054158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9E2847" w:rsidRDefault="00054158" w:rsidP="00054158">
            <w:pPr>
              <w:pStyle w:val="ListParagraph"/>
              <w:ind w:left="0"/>
              <w:jc w:val="center"/>
            </w:pPr>
            <w:r>
              <w:t>-</w:t>
            </w:r>
          </w:p>
        </w:tc>
      </w:tr>
    </w:tbl>
    <w:p w:rsidR="009E2847" w:rsidRDefault="009E2847" w:rsidP="009E2847">
      <w:pPr>
        <w:pStyle w:val="ListParagraph"/>
        <w:ind w:left="709"/>
        <w:jc w:val="both"/>
      </w:pPr>
    </w:p>
    <w:p w:rsidR="009E2847" w:rsidRDefault="009E2847" w:rsidP="009E2847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uzsāk pretendentu piedāvājumu izvērtēšanu.</w:t>
      </w:r>
    </w:p>
    <w:p w:rsidR="009E2847" w:rsidRDefault="009E2847" w:rsidP="009E2847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secina, ka visu pretendentu piedāvājumi noformēti atbilstoši nolikuma un normatīvo aktu prasībām.</w:t>
      </w:r>
    </w:p>
    <w:p w:rsidR="00A12922" w:rsidRDefault="00A12922" w:rsidP="00A12922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 w:rsidRPr="00A12922">
        <w:lastRenderedPageBreak/>
        <w:t xml:space="preserve">Komisija izvērtē </w:t>
      </w:r>
      <w:proofErr w:type="spellStart"/>
      <w:r w:rsidRPr="00A12922">
        <w:t>Aktiaselts</w:t>
      </w:r>
      <w:proofErr w:type="spellEnd"/>
      <w:r w:rsidRPr="00A12922">
        <w:t xml:space="preserve"> ADAM </w:t>
      </w:r>
      <w:proofErr w:type="spellStart"/>
      <w:r w:rsidRPr="00A12922">
        <w:t>Bd</w:t>
      </w:r>
      <w:proofErr w:type="spellEnd"/>
      <w:r w:rsidRPr="00A12922">
        <w:t xml:space="preserve"> filiāle “</w:t>
      </w:r>
      <w:proofErr w:type="spellStart"/>
      <w:r w:rsidRPr="00A12922">
        <w:t>Adam</w:t>
      </w:r>
      <w:proofErr w:type="spellEnd"/>
      <w:r w:rsidRPr="00A12922">
        <w:t xml:space="preserve"> </w:t>
      </w:r>
      <w:proofErr w:type="spellStart"/>
      <w:r w:rsidRPr="00A12922">
        <w:t>Decolight</w:t>
      </w:r>
      <w:proofErr w:type="spellEnd"/>
      <w:r w:rsidRPr="00A12922">
        <w:t xml:space="preserve"> Latvija” un SIA “AM noma” kvalifikācijas dokumentus un secina, ka abi pretendenti atbilst nolikuma prasībām.</w:t>
      </w:r>
    </w:p>
    <w:p w:rsidR="00A12922" w:rsidRDefault="00A12922" w:rsidP="00A12922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Komisija izvērtē </w:t>
      </w:r>
      <w:proofErr w:type="spellStart"/>
      <w:r w:rsidRPr="00A12922">
        <w:t>Aktiaselts</w:t>
      </w:r>
      <w:proofErr w:type="spellEnd"/>
      <w:r w:rsidRPr="00A12922">
        <w:t xml:space="preserve"> ADAM </w:t>
      </w:r>
      <w:proofErr w:type="spellStart"/>
      <w:r w:rsidRPr="00A12922">
        <w:t>Bd</w:t>
      </w:r>
      <w:proofErr w:type="spellEnd"/>
      <w:r w:rsidRPr="00A12922">
        <w:t xml:space="preserve"> filiāle “</w:t>
      </w:r>
      <w:proofErr w:type="spellStart"/>
      <w:r w:rsidRPr="00A12922">
        <w:t>Adam</w:t>
      </w:r>
      <w:proofErr w:type="spellEnd"/>
      <w:r w:rsidRPr="00A12922">
        <w:t xml:space="preserve"> </w:t>
      </w:r>
      <w:proofErr w:type="spellStart"/>
      <w:r w:rsidRPr="00A12922">
        <w:t>Decolight</w:t>
      </w:r>
      <w:proofErr w:type="spellEnd"/>
      <w:r w:rsidRPr="00A12922">
        <w:t xml:space="preserve"> Latvija” un SIA “AM noma”</w:t>
      </w:r>
      <w:r>
        <w:t xml:space="preserve"> tehniskos piedāvājumus un secina, ka abu pretendentu tehniskie piedāvājumi atbilst nolikuma prasībām un pasūtītāja vajadzībai.</w:t>
      </w:r>
    </w:p>
    <w:p w:rsidR="008E6B57" w:rsidRDefault="00A12922" w:rsidP="00A12922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Komisija izvērtē </w:t>
      </w:r>
      <w:proofErr w:type="spellStart"/>
      <w:r w:rsidRPr="00A12922">
        <w:t>Aktiaselts</w:t>
      </w:r>
      <w:proofErr w:type="spellEnd"/>
      <w:r w:rsidRPr="00A12922">
        <w:t xml:space="preserve"> ADAM </w:t>
      </w:r>
      <w:proofErr w:type="spellStart"/>
      <w:r w:rsidRPr="00A12922">
        <w:t>Bd</w:t>
      </w:r>
      <w:proofErr w:type="spellEnd"/>
      <w:r w:rsidRPr="00A12922">
        <w:t xml:space="preserve"> filiāle “</w:t>
      </w:r>
      <w:proofErr w:type="spellStart"/>
      <w:r w:rsidRPr="00A12922">
        <w:t>Adam</w:t>
      </w:r>
      <w:proofErr w:type="spellEnd"/>
      <w:r w:rsidRPr="00A12922">
        <w:t xml:space="preserve"> </w:t>
      </w:r>
      <w:proofErr w:type="spellStart"/>
      <w:r w:rsidRPr="00A12922">
        <w:t>Decolight</w:t>
      </w:r>
      <w:proofErr w:type="spellEnd"/>
      <w:r w:rsidRPr="00A12922">
        <w:t xml:space="preserve"> Latvija” un SIA “AM noma”</w:t>
      </w:r>
      <w:r>
        <w:t xml:space="preserve"> finanšu piedāvājumus un secina, ka </w:t>
      </w:r>
      <w:r w:rsidR="00D365D5" w:rsidRPr="00A12922">
        <w:t>SIA “AM noma”</w:t>
      </w:r>
      <w:r w:rsidR="00D365D5">
        <w:t xml:space="preserve"> iesniegtais finanšu </w:t>
      </w:r>
      <w:r w:rsidR="008E6B57">
        <w:t>piedāvājums iepirkuma 1.daļā</w:t>
      </w:r>
      <w:r w:rsidR="00D365D5">
        <w:t xml:space="preserve"> ir atbilstošs, kā arī </w:t>
      </w:r>
      <w:proofErr w:type="spellStart"/>
      <w:r w:rsidR="00D365D5" w:rsidRPr="00A12922">
        <w:t>Aktiaselts</w:t>
      </w:r>
      <w:proofErr w:type="spellEnd"/>
      <w:r w:rsidR="00D365D5" w:rsidRPr="00A12922">
        <w:t xml:space="preserve"> ADAM </w:t>
      </w:r>
      <w:proofErr w:type="spellStart"/>
      <w:r w:rsidR="00D365D5" w:rsidRPr="00A12922">
        <w:t>Bd</w:t>
      </w:r>
      <w:proofErr w:type="spellEnd"/>
      <w:r w:rsidR="00D365D5" w:rsidRPr="00A12922">
        <w:t xml:space="preserve"> filiāle “</w:t>
      </w:r>
      <w:proofErr w:type="spellStart"/>
      <w:r w:rsidR="00D365D5" w:rsidRPr="00A12922">
        <w:t>Adam</w:t>
      </w:r>
      <w:proofErr w:type="spellEnd"/>
      <w:r w:rsidR="00D365D5" w:rsidRPr="00A12922">
        <w:t xml:space="preserve"> </w:t>
      </w:r>
      <w:proofErr w:type="spellStart"/>
      <w:r w:rsidR="00D365D5" w:rsidRPr="00A12922">
        <w:t>Decolight</w:t>
      </w:r>
      <w:proofErr w:type="spellEnd"/>
      <w:r w:rsidR="00D365D5" w:rsidRPr="00A12922">
        <w:t xml:space="preserve"> Latvija”</w:t>
      </w:r>
      <w:r w:rsidR="008E6B57">
        <w:t xml:space="preserve"> iesniegtais finanšu piedāvājums iepirkuma 1. un 2.daļā ir atbilstošs. </w:t>
      </w:r>
    </w:p>
    <w:p w:rsidR="002C6B4A" w:rsidRDefault="008E6B57" w:rsidP="002C6B4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Attiecībā uz </w:t>
      </w:r>
      <w:proofErr w:type="spellStart"/>
      <w:r w:rsidRPr="00A12922">
        <w:t>Aktiaselts</w:t>
      </w:r>
      <w:proofErr w:type="spellEnd"/>
      <w:r w:rsidRPr="00A12922">
        <w:t xml:space="preserve"> ADAM </w:t>
      </w:r>
      <w:proofErr w:type="spellStart"/>
      <w:r w:rsidRPr="00A12922">
        <w:t>Bd</w:t>
      </w:r>
      <w:proofErr w:type="spellEnd"/>
      <w:r w:rsidRPr="00A12922">
        <w:t xml:space="preserve"> filiāle “</w:t>
      </w:r>
      <w:proofErr w:type="spellStart"/>
      <w:r w:rsidRPr="00A12922">
        <w:t>Adam</w:t>
      </w:r>
      <w:proofErr w:type="spellEnd"/>
      <w:r w:rsidRPr="00A12922">
        <w:t xml:space="preserve"> </w:t>
      </w:r>
      <w:proofErr w:type="spellStart"/>
      <w:r w:rsidRPr="00A12922">
        <w:t>Decolight</w:t>
      </w:r>
      <w:proofErr w:type="spellEnd"/>
      <w:r w:rsidRPr="00A12922">
        <w:t xml:space="preserve"> Latvija”</w:t>
      </w:r>
      <w:r>
        <w:t xml:space="preserve"> finanšu piedāvājumu iepirkuma 3.daļā komisija secina, ka </w:t>
      </w:r>
      <w:r w:rsidR="002C6B4A">
        <w:t>piedāvājuma 14.lpp. esošajā tabulā pozīcijā 3.1. “Riekstkoki” norādīta cena bez PVN 1243,20 euro, bet pēdējā kolonnā – 1598,40 euro bez PVN, savukārt par 3.5.pozīciju – “Gaismas eņģeļu atjaunošana” cena nav norādīta vispār. Komisijai rodas aizdomas, ka pretendents ir kļūdaini 3.5.pozīcijas izmaksas piesummējis 3.1.pozīcijai “Riekstkoki”, norādot cenu bez PVN 1243,20 euro.</w:t>
      </w:r>
      <w:r w:rsidR="00EF5223">
        <w:t xml:space="preserve"> </w:t>
      </w:r>
    </w:p>
    <w:p w:rsidR="00EF5223" w:rsidRPr="00A12922" w:rsidRDefault="00EF5223" w:rsidP="002C6B4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Komisija lemj pieprasīt </w:t>
      </w:r>
      <w:proofErr w:type="spellStart"/>
      <w:r w:rsidRPr="00A12922">
        <w:t>Aktiaselts</w:t>
      </w:r>
      <w:proofErr w:type="spellEnd"/>
      <w:r w:rsidRPr="00A12922">
        <w:t xml:space="preserve"> ADAM </w:t>
      </w:r>
      <w:proofErr w:type="spellStart"/>
      <w:r w:rsidRPr="00A12922">
        <w:t>Bd</w:t>
      </w:r>
      <w:proofErr w:type="spellEnd"/>
      <w:r w:rsidRPr="00A12922">
        <w:t xml:space="preserve"> filiāle “</w:t>
      </w:r>
      <w:proofErr w:type="spellStart"/>
      <w:r w:rsidRPr="00A12922">
        <w:t>Adam</w:t>
      </w:r>
      <w:proofErr w:type="spellEnd"/>
      <w:r w:rsidRPr="00A12922">
        <w:t xml:space="preserve"> </w:t>
      </w:r>
      <w:proofErr w:type="spellStart"/>
      <w:r w:rsidRPr="00A12922">
        <w:t>Decolight</w:t>
      </w:r>
      <w:proofErr w:type="spellEnd"/>
      <w:r w:rsidRPr="00A12922">
        <w:t xml:space="preserve"> Latvija”</w:t>
      </w:r>
      <w:r>
        <w:t xml:space="preserve"> skaidrojumu par </w:t>
      </w:r>
      <w:r w:rsidR="00583503">
        <w:t>tā finanšu piedāvājumu iepirkuma 3.daļā.</w:t>
      </w:r>
    </w:p>
    <w:p w:rsidR="00272811" w:rsidRDefault="00272811" w:rsidP="00272811">
      <w:pPr>
        <w:ind w:firstLine="720"/>
        <w:jc w:val="both"/>
      </w:pPr>
    </w:p>
    <w:p w:rsidR="00583503" w:rsidRDefault="00583503" w:rsidP="00583503">
      <w:pPr>
        <w:shd w:val="clear" w:color="auto" w:fill="D6E3BC" w:themeFill="accent3" w:themeFillTint="66"/>
        <w:jc w:val="both"/>
        <w:rPr>
          <w:b/>
          <w:bCs/>
        </w:rPr>
      </w:pPr>
      <w:r>
        <w:rPr>
          <w:b/>
          <w:bCs/>
        </w:rPr>
        <w:t xml:space="preserve">Komisija vienbalsīgi nolemj: </w:t>
      </w:r>
    </w:p>
    <w:p w:rsidR="00583503" w:rsidRDefault="00583503" w:rsidP="00583503">
      <w:pPr>
        <w:numPr>
          <w:ilvl w:val="0"/>
          <w:numId w:val="1"/>
        </w:numPr>
        <w:shd w:val="clear" w:color="auto" w:fill="D6E3BC" w:themeFill="accent3" w:themeFillTint="66"/>
        <w:tabs>
          <w:tab w:val="num" w:pos="720"/>
        </w:tabs>
        <w:ind w:left="720" w:hanging="720"/>
        <w:jc w:val="both"/>
      </w:pPr>
      <w:r>
        <w:t>Turpināt piedāvājumu izvērtēšanu kādā no turpmākajām komisijas sēdēm.</w:t>
      </w:r>
    </w:p>
    <w:p w:rsidR="00583503" w:rsidRDefault="00583503" w:rsidP="00583503">
      <w:pPr>
        <w:jc w:val="both"/>
        <w:rPr>
          <w:b/>
          <w:bCs/>
        </w:rPr>
      </w:pPr>
    </w:p>
    <w:p w:rsidR="00583503" w:rsidRDefault="00583503" w:rsidP="00583503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583503" w:rsidRDefault="00583503" w:rsidP="00583503">
      <w:pPr>
        <w:ind w:firstLine="720"/>
        <w:jc w:val="both"/>
      </w:pPr>
      <w:r>
        <w:t>Komisijas priekšsēdētājs sēdi slēdz plkst. 11:30.</w:t>
      </w:r>
    </w:p>
    <w:p w:rsidR="00583503" w:rsidRDefault="00583503" w:rsidP="00583503">
      <w:pPr>
        <w:jc w:val="both"/>
      </w:pPr>
    </w:p>
    <w:p w:rsidR="00583503" w:rsidRDefault="00583503" w:rsidP="00583503">
      <w:pPr>
        <w:jc w:val="both"/>
      </w:pPr>
    </w:p>
    <w:p w:rsidR="00583503" w:rsidRDefault="00583503" w:rsidP="00583503"/>
    <w:p w:rsidR="00583503" w:rsidRDefault="00583503" w:rsidP="00583503">
      <w:pPr>
        <w:jc w:val="both"/>
      </w:pPr>
    </w:p>
    <w:p w:rsidR="00583503" w:rsidRDefault="00583503" w:rsidP="00583503">
      <w:pPr>
        <w:ind w:right="-694"/>
        <w:jc w:val="both"/>
      </w:pPr>
      <w:r>
        <w:t>Komisijas priekšsēdētājs:</w:t>
      </w:r>
      <w:r>
        <w:tab/>
        <w:t xml:space="preserve"> </w:t>
      </w:r>
      <w:r>
        <w:tab/>
        <w:t>_____________________</w:t>
      </w:r>
      <w:r>
        <w:tab/>
        <w:t xml:space="preserve">V. Bulāns </w:t>
      </w:r>
    </w:p>
    <w:p w:rsidR="00583503" w:rsidRDefault="00583503" w:rsidP="00583503">
      <w:pPr>
        <w:ind w:right="-694"/>
        <w:jc w:val="both"/>
      </w:pPr>
    </w:p>
    <w:p w:rsidR="00583503" w:rsidRDefault="00583503" w:rsidP="00583503">
      <w:pPr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583503" w:rsidRDefault="00583503" w:rsidP="00583503">
      <w:pPr>
        <w:ind w:right="-694"/>
        <w:jc w:val="both"/>
      </w:pPr>
    </w:p>
    <w:p w:rsidR="00583503" w:rsidRDefault="00583503" w:rsidP="00583503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583503" w:rsidRDefault="00583503" w:rsidP="00583503"/>
    <w:p w:rsidR="00583503" w:rsidRDefault="00583503" w:rsidP="0058350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583503" w:rsidRDefault="00583503" w:rsidP="00583503"/>
    <w:p w:rsidR="00583503" w:rsidRDefault="00583503" w:rsidP="0058350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A. Brūvers</w:t>
      </w:r>
    </w:p>
    <w:p w:rsidR="00583503" w:rsidRDefault="00583503" w:rsidP="00583503"/>
    <w:p w:rsidR="00583503" w:rsidRDefault="00583503" w:rsidP="0058350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583503" w:rsidRDefault="00583503" w:rsidP="00583503"/>
    <w:p w:rsidR="00583503" w:rsidRDefault="00583503" w:rsidP="0058350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A. Liepiņa-Jākobsone</w:t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 w:rsidSect="00FC6BB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E14"/>
    <w:multiLevelType w:val="hybridMultilevel"/>
    <w:tmpl w:val="6B143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23654"/>
    <w:rsid w:val="00054158"/>
    <w:rsid w:val="0009587F"/>
    <w:rsid w:val="00097C01"/>
    <w:rsid w:val="000B0B2D"/>
    <w:rsid w:val="000B4CF5"/>
    <w:rsid w:val="000C04A9"/>
    <w:rsid w:val="000C31E3"/>
    <w:rsid w:val="00120ACA"/>
    <w:rsid w:val="001464BD"/>
    <w:rsid w:val="00146516"/>
    <w:rsid w:val="001D5B3D"/>
    <w:rsid w:val="001E56B8"/>
    <w:rsid w:val="001F4577"/>
    <w:rsid w:val="0020090F"/>
    <w:rsid w:val="002142C5"/>
    <w:rsid w:val="002716BB"/>
    <w:rsid w:val="00272811"/>
    <w:rsid w:val="00284A5E"/>
    <w:rsid w:val="002A1C45"/>
    <w:rsid w:val="002A54C7"/>
    <w:rsid w:val="002A72D5"/>
    <w:rsid w:val="002C6B4A"/>
    <w:rsid w:val="003241BF"/>
    <w:rsid w:val="00347760"/>
    <w:rsid w:val="00381801"/>
    <w:rsid w:val="003C5717"/>
    <w:rsid w:val="003D1793"/>
    <w:rsid w:val="003D52F4"/>
    <w:rsid w:val="003D78D5"/>
    <w:rsid w:val="003E6729"/>
    <w:rsid w:val="0045036C"/>
    <w:rsid w:val="0045072A"/>
    <w:rsid w:val="00453F55"/>
    <w:rsid w:val="00463D9A"/>
    <w:rsid w:val="004671C4"/>
    <w:rsid w:val="00480548"/>
    <w:rsid w:val="00487F2D"/>
    <w:rsid w:val="004C478A"/>
    <w:rsid w:val="004C6313"/>
    <w:rsid w:val="004E5069"/>
    <w:rsid w:val="00533F59"/>
    <w:rsid w:val="00553B33"/>
    <w:rsid w:val="00570800"/>
    <w:rsid w:val="005770F2"/>
    <w:rsid w:val="00580D28"/>
    <w:rsid w:val="00583503"/>
    <w:rsid w:val="005913ED"/>
    <w:rsid w:val="005D66B5"/>
    <w:rsid w:val="00600BFE"/>
    <w:rsid w:val="006208C5"/>
    <w:rsid w:val="00650725"/>
    <w:rsid w:val="006B2C5B"/>
    <w:rsid w:val="006B41FA"/>
    <w:rsid w:val="006B4E61"/>
    <w:rsid w:val="006B6501"/>
    <w:rsid w:val="006B68BA"/>
    <w:rsid w:val="006D295B"/>
    <w:rsid w:val="006E5EEB"/>
    <w:rsid w:val="007079A4"/>
    <w:rsid w:val="00766450"/>
    <w:rsid w:val="007F78E7"/>
    <w:rsid w:val="00805173"/>
    <w:rsid w:val="00805548"/>
    <w:rsid w:val="0081596C"/>
    <w:rsid w:val="0083447E"/>
    <w:rsid w:val="00844A32"/>
    <w:rsid w:val="00863C22"/>
    <w:rsid w:val="008A2CC0"/>
    <w:rsid w:val="008C3F6F"/>
    <w:rsid w:val="008C4B3C"/>
    <w:rsid w:val="008E6B57"/>
    <w:rsid w:val="00913B55"/>
    <w:rsid w:val="00977787"/>
    <w:rsid w:val="009A7C25"/>
    <w:rsid w:val="009B6194"/>
    <w:rsid w:val="009D16A3"/>
    <w:rsid w:val="009E2847"/>
    <w:rsid w:val="00A12922"/>
    <w:rsid w:val="00A40A9F"/>
    <w:rsid w:val="00A47D1F"/>
    <w:rsid w:val="00A871A3"/>
    <w:rsid w:val="00A871CD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95BE5"/>
    <w:rsid w:val="00BD1225"/>
    <w:rsid w:val="00BE3FF2"/>
    <w:rsid w:val="00BE502E"/>
    <w:rsid w:val="00C17C60"/>
    <w:rsid w:val="00C93910"/>
    <w:rsid w:val="00CB1941"/>
    <w:rsid w:val="00CC720B"/>
    <w:rsid w:val="00D15748"/>
    <w:rsid w:val="00D365D5"/>
    <w:rsid w:val="00D6257C"/>
    <w:rsid w:val="00DB4A36"/>
    <w:rsid w:val="00DB6C6C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F5223"/>
    <w:rsid w:val="00F05BB7"/>
    <w:rsid w:val="00F30832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59"/>
    <w:rsid w:val="009E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59"/>
    <w:rsid w:val="009E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69</cp:revision>
  <dcterms:created xsi:type="dcterms:W3CDTF">2015-03-19T13:27:00Z</dcterms:created>
  <dcterms:modified xsi:type="dcterms:W3CDTF">2017-11-16T13:54:00Z</dcterms:modified>
</cp:coreProperties>
</file>