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811" w:rsidRDefault="00272811" w:rsidP="00A23093">
      <w:pPr>
        <w:shd w:val="clear" w:color="auto" w:fill="D6E3BC" w:themeFill="accent3" w:themeFillTint="66"/>
        <w:jc w:val="center"/>
        <w:rPr>
          <w:b/>
        </w:rPr>
      </w:pPr>
      <w:r>
        <w:rPr>
          <w:b/>
        </w:rPr>
        <w:t>Ādažu novada domes</w:t>
      </w:r>
    </w:p>
    <w:p w:rsidR="00272811" w:rsidRDefault="00272811" w:rsidP="00A23093">
      <w:pPr>
        <w:shd w:val="clear" w:color="auto" w:fill="D6E3BC" w:themeFill="accent3" w:themeFillTint="66"/>
        <w:jc w:val="center"/>
        <w:rPr>
          <w:b/>
        </w:rPr>
      </w:pPr>
      <w:r>
        <w:rPr>
          <w:b/>
        </w:rPr>
        <w:t>iepirkuma</w:t>
      </w:r>
    </w:p>
    <w:p w:rsidR="00272811" w:rsidRDefault="00272811" w:rsidP="00A23093">
      <w:pPr>
        <w:shd w:val="clear" w:color="auto" w:fill="D6E3BC" w:themeFill="accent3" w:themeFillTint="66"/>
        <w:jc w:val="center"/>
        <w:rPr>
          <w:b/>
          <w:sz w:val="8"/>
          <w:szCs w:val="8"/>
        </w:rPr>
      </w:pPr>
    </w:p>
    <w:p w:rsidR="00272811" w:rsidRDefault="00272811" w:rsidP="00A23093">
      <w:pPr>
        <w:shd w:val="clear" w:color="auto" w:fill="D6E3BC" w:themeFill="accent3" w:themeFillTint="66"/>
        <w:jc w:val="center"/>
        <w:rPr>
          <w:b/>
          <w:sz w:val="28"/>
          <w:szCs w:val="28"/>
        </w:rPr>
      </w:pPr>
      <w:r>
        <w:rPr>
          <w:b/>
          <w:sz w:val="28"/>
          <w:szCs w:val="28"/>
        </w:rPr>
        <w:t>„</w:t>
      </w:r>
      <w:r w:rsidR="00B2145C">
        <w:rPr>
          <w:b/>
          <w:sz w:val="28"/>
          <w:szCs w:val="28"/>
        </w:rPr>
        <w:t xml:space="preserve">Atkārtots iepirkums - </w:t>
      </w:r>
      <w:r w:rsidR="00805548">
        <w:rPr>
          <w:b/>
          <w:sz w:val="28"/>
          <w:szCs w:val="28"/>
        </w:rPr>
        <w:t>Ādažu PII baseina grīdas atjaunošana</w:t>
      </w:r>
      <w:r>
        <w:rPr>
          <w:b/>
          <w:sz w:val="28"/>
          <w:szCs w:val="28"/>
        </w:rPr>
        <w:t>”</w:t>
      </w:r>
    </w:p>
    <w:p w:rsidR="00272811" w:rsidRDefault="00B2145C" w:rsidP="00A23093">
      <w:pPr>
        <w:shd w:val="clear" w:color="auto" w:fill="D6E3BC" w:themeFill="accent3" w:themeFillTint="66"/>
        <w:jc w:val="center"/>
        <w:rPr>
          <w:b/>
          <w:sz w:val="28"/>
          <w:szCs w:val="28"/>
        </w:rPr>
      </w:pPr>
      <w:r>
        <w:rPr>
          <w:b/>
          <w:sz w:val="28"/>
          <w:szCs w:val="28"/>
        </w:rPr>
        <w:t>(ID.Nr. ĀND 2017/122</w:t>
      </w:r>
      <w:r w:rsidR="00805548">
        <w:rPr>
          <w:b/>
          <w:sz w:val="28"/>
          <w:szCs w:val="28"/>
        </w:rPr>
        <w:t>)</w:t>
      </w:r>
    </w:p>
    <w:p w:rsidR="00272811" w:rsidRDefault="00272811" w:rsidP="00A23093">
      <w:pPr>
        <w:shd w:val="clear" w:color="auto" w:fill="D6E3BC" w:themeFill="accent3" w:themeFillTint="66"/>
        <w:jc w:val="center"/>
        <w:rPr>
          <w:sz w:val="8"/>
          <w:szCs w:val="8"/>
        </w:rPr>
      </w:pPr>
    </w:p>
    <w:p w:rsidR="00272811" w:rsidRDefault="00272811" w:rsidP="00A23093">
      <w:pPr>
        <w:shd w:val="clear" w:color="auto" w:fill="D6E3BC" w:themeFill="accent3" w:themeFillTint="66"/>
        <w:jc w:val="center"/>
        <w:rPr>
          <w:sz w:val="8"/>
          <w:szCs w:val="8"/>
        </w:rPr>
      </w:pPr>
    </w:p>
    <w:p w:rsidR="00272811" w:rsidRDefault="00272811" w:rsidP="00A23093">
      <w:pPr>
        <w:shd w:val="clear" w:color="auto" w:fill="D6E3BC" w:themeFill="accent3" w:themeFillTint="66"/>
        <w:jc w:val="center"/>
      </w:pPr>
      <w:r>
        <w:t>iepirkuma komisijas sēdes</w:t>
      </w:r>
    </w:p>
    <w:p w:rsidR="00272811" w:rsidRDefault="00272811" w:rsidP="00A23093">
      <w:pPr>
        <w:shd w:val="clear" w:color="auto" w:fill="D6E3BC" w:themeFill="accent3" w:themeFillTint="66"/>
        <w:rPr>
          <w:sz w:val="8"/>
          <w:szCs w:val="8"/>
        </w:rPr>
      </w:pPr>
    </w:p>
    <w:p w:rsidR="00272811" w:rsidRDefault="00272811" w:rsidP="00A23093">
      <w:pPr>
        <w:pStyle w:val="Heading1"/>
        <w:shd w:val="clear" w:color="auto" w:fill="D6E3BC" w:themeFill="accent3" w:themeFillTint="66"/>
        <w:rPr>
          <w:b/>
          <w:bCs/>
          <w:sz w:val="24"/>
        </w:rPr>
      </w:pPr>
      <w:r>
        <w:rPr>
          <w:b/>
          <w:bCs/>
          <w:sz w:val="24"/>
        </w:rPr>
        <w:t>PROTOKOLS</w:t>
      </w:r>
      <w:r w:rsidR="00B2145C">
        <w:rPr>
          <w:b/>
        </w:rPr>
        <w:t xml:space="preserve"> Nr.05-30-2017/122</w:t>
      </w:r>
      <w:r w:rsidR="006B2C5B">
        <w:rPr>
          <w:b/>
        </w:rPr>
        <w:t>-</w:t>
      </w:r>
      <w:r w:rsidR="003F4EC4">
        <w:rPr>
          <w:b/>
        </w:rPr>
        <w:t>2</w:t>
      </w:r>
    </w:p>
    <w:p w:rsidR="00272811" w:rsidRDefault="00272811" w:rsidP="00272811"/>
    <w:tbl>
      <w:tblPr>
        <w:tblW w:w="9322" w:type="dxa"/>
        <w:tblLook w:val="01E0" w:firstRow="1" w:lastRow="1" w:firstColumn="1" w:lastColumn="1" w:noHBand="0" w:noVBand="0"/>
      </w:tblPr>
      <w:tblGrid>
        <w:gridCol w:w="4261"/>
        <w:gridCol w:w="5061"/>
      </w:tblGrid>
      <w:tr w:rsidR="00272811" w:rsidTr="00272811">
        <w:tc>
          <w:tcPr>
            <w:tcW w:w="4261" w:type="dxa"/>
            <w:hideMark/>
          </w:tcPr>
          <w:p w:rsidR="00272811" w:rsidRDefault="00272811">
            <w:r>
              <w:t>Ādažos</w:t>
            </w:r>
          </w:p>
        </w:tc>
        <w:tc>
          <w:tcPr>
            <w:tcW w:w="5061" w:type="dxa"/>
            <w:hideMark/>
          </w:tcPr>
          <w:p w:rsidR="00272811" w:rsidRDefault="003D1793" w:rsidP="003F4EC4">
            <w:pPr>
              <w:jc w:val="right"/>
            </w:pPr>
            <w:r>
              <w:rPr>
                <w:b/>
              </w:rPr>
              <w:t>2017</w:t>
            </w:r>
            <w:r w:rsidR="000B4CF5">
              <w:rPr>
                <w:b/>
              </w:rPr>
              <w:t>.</w:t>
            </w:r>
            <w:r w:rsidR="002716BB">
              <w:rPr>
                <w:b/>
              </w:rPr>
              <w:t xml:space="preserve">gada </w:t>
            </w:r>
            <w:r w:rsidR="003F4EC4">
              <w:rPr>
                <w:b/>
              </w:rPr>
              <w:t>7.novembrī</w:t>
            </w:r>
          </w:p>
        </w:tc>
      </w:tr>
    </w:tbl>
    <w:p w:rsidR="00272811" w:rsidRDefault="00272811" w:rsidP="00272811">
      <w:pPr>
        <w:rPr>
          <w:b/>
          <w:bCs/>
        </w:rPr>
      </w:pPr>
      <w:r>
        <w:tab/>
      </w:r>
      <w:r>
        <w:tab/>
      </w:r>
      <w:r>
        <w:tab/>
      </w:r>
      <w:r>
        <w:tab/>
      </w:r>
      <w:r>
        <w:tab/>
      </w:r>
      <w:r>
        <w:tab/>
      </w:r>
      <w:r>
        <w:tab/>
      </w:r>
      <w:r>
        <w:tab/>
      </w:r>
      <w:r>
        <w:tab/>
        <w:t xml:space="preserve">          </w:t>
      </w:r>
    </w:p>
    <w:p w:rsidR="00272811" w:rsidRDefault="00272811" w:rsidP="00272811">
      <w:pPr>
        <w:pStyle w:val="Heading2"/>
        <w:rPr>
          <w:sz w:val="24"/>
        </w:rPr>
      </w:pPr>
      <w:r>
        <w:rPr>
          <w:b/>
          <w:bCs/>
          <w:sz w:val="24"/>
        </w:rPr>
        <w:t>Sēde sākās:</w:t>
      </w:r>
      <w:r>
        <w:rPr>
          <w:sz w:val="24"/>
        </w:rPr>
        <w:t xml:space="preserve"> </w:t>
      </w:r>
    </w:p>
    <w:p w:rsidR="00272811" w:rsidRDefault="00120ACA" w:rsidP="00272811">
      <w:pPr>
        <w:pStyle w:val="Heading2"/>
        <w:ind w:firstLine="720"/>
        <w:rPr>
          <w:sz w:val="24"/>
        </w:rPr>
      </w:pPr>
      <w:r>
        <w:rPr>
          <w:sz w:val="24"/>
        </w:rPr>
        <w:t>Ko</w:t>
      </w:r>
      <w:r w:rsidR="00805548">
        <w:rPr>
          <w:sz w:val="24"/>
        </w:rPr>
        <w:t xml:space="preserve">misijas priekšsēdētājs </w:t>
      </w:r>
      <w:r w:rsidR="00272811">
        <w:rPr>
          <w:sz w:val="24"/>
        </w:rPr>
        <w:t>atklāj sēdi</w:t>
      </w:r>
      <w:r w:rsidR="00F30832">
        <w:rPr>
          <w:sz w:val="24"/>
        </w:rPr>
        <w:t xml:space="preserve"> plkst. 10</w:t>
      </w:r>
      <w:r w:rsidR="00272811">
        <w:rPr>
          <w:sz w:val="24"/>
        </w:rPr>
        <w:t>.00.</w:t>
      </w:r>
    </w:p>
    <w:p w:rsidR="00272811" w:rsidRDefault="00272811" w:rsidP="00272811">
      <w:pPr>
        <w:jc w:val="both"/>
        <w:rPr>
          <w:b/>
          <w:bCs/>
        </w:rPr>
      </w:pPr>
    </w:p>
    <w:p w:rsidR="00272811" w:rsidRDefault="00272811" w:rsidP="00272811">
      <w:pPr>
        <w:jc w:val="both"/>
        <w:rPr>
          <w:b/>
          <w:bCs/>
        </w:rPr>
      </w:pPr>
      <w:r>
        <w:rPr>
          <w:b/>
          <w:bCs/>
        </w:rPr>
        <w:t>Sēdē piedalās:</w:t>
      </w:r>
    </w:p>
    <w:tbl>
      <w:tblPr>
        <w:tblW w:w="0" w:type="auto"/>
        <w:tblInd w:w="648" w:type="dxa"/>
        <w:tblLook w:val="01E0" w:firstRow="1" w:lastRow="1" w:firstColumn="1" w:lastColumn="1" w:noHBand="0" w:noVBand="0"/>
      </w:tblPr>
      <w:tblGrid>
        <w:gridCol w:w="3060"/>
        <w:gridCol w:w="4680"/>
      </w:tblGrid>
      <w:tr w:rsidR="00E656DF" w:rsidTr="00272811">
        <w:tc>
          <w:tcPr>
            <w:tcW w:w="3060" w:type="dxa"/>
          </w:tcPr>
          <w:p w:rsidR="00E656DF" w:rsidRDefault="00E656DF" w:rsidP="00E656DF">
            <w:pPr>
              <w:ind w:left="72" w:right="-694"/>
              <w:jc w:val="both"/>
            </w:pPr>
            <w:r>
              <w:t xml:space="preserve">Komisijas priekšsēdētājs: </w:t>
            </w:r>
          </w:p>
          <w:p w:rsidR="00E656DF" w:rsidRDefault="00E656DF" w:rsidP="00E656DF">
            <w:pPr>
              <w:ind w:left="72" w:right="-694"/>
              <w:jc w:val="both"/>
            </w:pPr>
            <w:r>
              <w:t>Komisijas locekļi:</w:t>
            </w:r>
          </w:p>
          <w:p w:rsidR="00E656DF" w:rsidRDefault="00E656DF" w:rsidP="00E656DF">
            <w:pPr>
              <w:ind w:left="72" w:right="-694"/>
              <w:jc w:val="both"/>
            </w:pPr>
          </w:p>
          <w:p w:rsidR="00E656DF" w:rsidRDefault="00E656DF" w:rsidP="00E656DF">
            <w:pPr>
              <w:ind w:left="72" w:right="-694"/>
              <w:jc w:val="both"/>
            </w:pPr>
          </w:p>
          <w:p w:rsidR="00E656DF" w:rsidRDefault="00E656DF" w:rsidP="00E656DF">
            <w:pPr>
              <w:ind w:left="72" w:right="-694"/>
              <w:jc w:val="both"/>
            </w:pPr>
          </w:p>
          <w:p w:rsidR="00B2145C" w:rsidRDefault="00B2145C" w:rsidP="00E656DF">
            <w:pPr>
              <w:ind w:left="72" w:right="-694"/>
              <w:jc w:val="both"/>
            </w:pPr>
          </w:p>
          <w:p w:rsidR="00B2145C" w:rsidRDefault="00B2145C" w:rsidP="00E656DF">
            <w:pPr>
              <w:ind w:left="72" w:right="-694"/>
              <w:jc w:val="both"/>
            </w:pPr>
            <w:r>
              <w:t>Komisijas sekretāre:</w:t>
            </w:r>
          </w:p>
        </w:tc>
        <w:tc>
          <w:tcPr>
            <w:tcW w:w="4680" w:type="dxa"/>
            <w:hideMark/>
          </w:tcPr>
          <w:p w:rsidR="00805548" w:rsidRDefault="00805548" w:rsidP="00E656DF">
            <w:pPr>
              <w:jc w:val="both"/>
            </w:pPr>
            <w:r>
              <w:t>Valērijs Bulāns</w:t>
            </w:r>
          </w:p>
          <w:p w:rsidR="006B41FA" w:rsidRDefault="006B41FA" w:rsidP="00E656DF">
            <w:pPr>
              <w:jc w:val="both"/>
            </w:pPr>
            <w:r>
              <w:t>Rita Šteina</w:t>
            </w:r>
          </w:p>
          <w:p w:rsidR="00480548" w:rsidRDefault="00480548" w:rsidP="00E656DF">
            <w:pPr>
              <w:jc w:val="both"/>
            </w:pPr>
            <w:r>
              <w:t>Everita Kāpa</w:t>
            </w:r>
          </w:p>
          <w:p w:rsidR="00E656DF" w:rsidRDefault="00E656DF" w:rsidP="00E656DF">
            <w:pPr>
              <w:jc w:val="both"/>
            </w:pPr>
            <w:r>
              <w:t>Uģis Dambis</w:t>
            </w:r>
          </w:p>
          <w:p w:rsidR="006B41FA" w:rsidRDefault="00805548" w:rsidP="00E656DF">
            <w:pPr>
              <w:jc w:val="both"/>
            </w:pPr>
            <w:r>
              <w:t>Artis Brūvers</w:t>
            </w:r>
          </w:p>
          <w:p w:rsidR="00B2145C" w:rsidRDefault="00B2145C" w:rsidP="00E656DF">
            <w:pPr>
              <w:jc w:val="both"/>
            </w:pPr>
            <w:r>
              <w:t>Halfors Krasts</w:t>
            </w:r>
          </w:p>
          <w:p w:rsidR="00B2145C" w:rsidRDefault="00B2145C" w:rsidP="00E656DF">
            <w:pPr>
              <w:jc w:val="both"/>
            </w:pPr>
            <w:r>
              <w:t>Alīna Liepiņa-Jākobsone</w:t>
            </w:r>
          </w:p>
          <w:p w:rsidR="00E656DF" w:rsidRDefault="00E656DF" w:rsidP="00E656DF">
            <w:pPr>
              <w:jc w:val="both"/>
            </w:pPr>
          </w:p>
        </w:tc>
      </w:tr>
    </w:tbl>
    <w:p w:rsidR="00272811" w:rsidRDefault="00272811" w:rsidP="00272811">
      <w:pPr>
        <w:rPr>
          <w:b/>
        </w:rPr>
      </w:pPr>
      <w:r>
        <w:rPr>
          <w:b/>
        </w:rPr>
        <w:t xml:space="preserve">Komisijas izveides pamats: </w:t>
      </w:r>
    </w:p>
    <w:p w:rsidR="00F30832" w:rsidRDefault="00805548" w:rsidP="00F30832">
      <w:pPr>
        <w:ind w:left="709" w:right="26"/>
        <w:jc w:val="both"/>
        <w:rPr>
          <w:color w:val="FF0000"/>
        </w:rPr>
      </w:pPr>
      <w:r>
        <w:t>Ādažu novada domes 2017.gada 22.augusta</w:t>
      </w:r>
      <w:r w:rsidR="00F30832">
        <w:t xml:space="preserve"> </w:t>
      </w:r>
      <w:smartTag w:uri="schemas-tilde-lv/tildestengine" w:element="veidnes">
        <w:smartTagPr>
          <w:attr w:name="text" w:val="lēmums"/>
          <w:attr w:name="baseform" w:val="lēmums"/>
          <w:attr w:name="id" w:val="-1"/>
        </w:smartTagPr>
        <w:r w:rsidR="00F30832">
          <w:t>lēmums</w:t>
        </w:r>
      </w:smartTag>
      <w:r>
        <w:t xml:space="preserve"> Nr. 194</w:t>
      </w:r>
      <w:r w:rsidR="00F30832">
        <w:t>.</w:t>
      </w:r>
    </w:p>
    <w:p w:rsidR="000C31E3" w:rsidRDefault="000C31E3" w:rsidP="00B27748">
      <w:pPr>
        <w:ind w:left="720"/>
        <w:jc w:val="both"/>
        <w:rPr>
          <w:b/>
          <w:bCs/>
        </w:rPr>
      </w:pPr>
    </w:p>
    <w:p w:rsidR="00272811" w:rsidRDefault="00272811" w:rsidP="00272811">
      <w:pPr>
        <w:jc w:val="both"/>
      </w:pPr>
      <w:r>
        <w:rPr>
          <w:b/>
          <w:bCs/>
        </w:rPr>
        <w:t>Darba kārtībā:</w:t>
      </w:r>
    </w:p>
    <w:p w:rsidR="00272811" w:rsidRDefault="003F4EC4" w:rsidP="00272811">
      <w:pPr>
        <w:tabs>
          <w:tab w:val="left" w:pos="993"/>
        </w:tabs>
        <w:ind w:left="709"/>
        <w:jc w:val="both"/>
      </w:pPr>
      <w:r>
        <w:t>Piedāvājumu atvēršana un izvērtēšana i</w:t>
      </w:r>
      <w:r w:rsidR="00272811">
        <w:t>epirkum</w:t>
      </w:r>
      <w:r>
        <w:t xml:space="preserve">ā </w:t>
      </w:r>
      <w:r w:rsidR="00272811" w:rsidRPr="00805548">
        <w:t>„</w:t>
      </w:r>
      <w:r w:rsidR="00B2145C">
        <w:t xml:space="preserve">Atkārtots iepirkums - </w:t>
      </w:r>
      <w:r w:rsidR="00805548" w:rsidRPr="00805548">
        <w:t>Ādažu PII baseina grīdas atjaunošana</w:t>
      </w:r>
      <w:r w:rsidR="006B68BA" w:rsidRPr="00E77527">
        <w:t>”</w:t>
      </w:r>
      <w:r w:rsidR="00E77527">
        <w:t xml:space="preserve"> </w:t>
      </w:r>
      <w:r w:rsidR="003D1793">
        <w:t>(ID.Nr.: ĀND 2017</w:t>
      </w:r>
      <w:r w:rsidR="006B68BA">
        <w:t>/</w:t>
      </w:r>
      <w:r w:rsidR="00B2145C">
        <w:t>122</w:t>
      </w:r>
      <w:r w:rsidR="00272811">
        <w:t>)</w:t>
      </w:r>
      <w:r>
        <w:t>.</w:t>
      </w:r>
    </w:p>
    <w:p w:rsidR="000C31E3" w:rsidRDefault="000C31E3" w:rsidP="00272811">
      <w:pPr>
        <w:tabs>
          <w:tab w:val="left" w:pos="993"/>
        </w:tabs>
        <w:ind w:left="709"/>
        <w:jc w:val="both"/>
        <w:rPr>
          <w:b/>
        </w:rPr>
      </w:pPr>
    </w:p>
    <w:p w:rsidR="00272811" w:rsidRDefault="00272811" w:rsidP="00272811">
      <w:pPr>
        <w:jc w:val="both"/>
        <w:rPr>
          <w:b/>
        </w:rPr>
      </w:pPr>
      <w:r>
        <w:rPr>
          <w:b/>
        </w:rPr>
        <w:t>Darba gaita:</w:t>
      </w:r>
    </w:p>
    <w:p w:rsidR="003F4EC4" w:rsidRDefault="003F4EC4" w:rsidP="006D4EB2">
      <w:pPr>
        <w:pStyle w:val="ListParagraph"/>
        <w:numPr>
          <w:ilvl w:val="0"/>
          <w:numId w:val="3"/>
        </w:numPr>
        <w:spacing w:before="120" w:after="120"/>
        <w:ind w:left="709" w:hanging="709"/>
        <w:contextualSpacing w:val="0"/>
        <w:jc w:val="both"/>
      </w:pPr>
      <w:r>
        <w:t>V.Bulāns informē, ka piedāvājumus iepirkumā iesnieguši 5 (pieci) pretendenti.</w:t>
      </w:r>
    </w:p>
    <w:p w:rsidR="003F4EC4" w:rsidRDefault="003F4EC4" w:rsidP="006D4EB2">
      <w:pPr>
        <w:pStyle w:val="ListParagraph"/>
        <w:numPr>
          <w:ilvl w:val="0"/>
          <w:numId w:val="3"/>
        </w:numPr>
        <w:spacing w:before="120" w:after="120"/>
        <w:ind w:left="709" w:hanging="709"/>
        <w:contextualSpacing w:val="0"/>
        <w:jc w:val="both"/>
      </w:pPr>
      <w:r>
        <w:t xml:space="preserve">Komisija atver piedāvājumus to iesniegšanas secībā, V.Bulāns nosauc </w:t>
      </w:r>
      <w:r w:rsidR="007E2ED0">
        <w:t xml:space="preserve">pretendentu </w:t>
      </w:r>
      <w:r>
        <w:t xml:space="preserve">piedāvājumu </w:t>
      </w:r>
      <w:r w:rsidR="007E2ED0">
        <w:t>līgumcenas</w:t>
      </w:r>
      <w:proofErr w:type="gramStart"/>
      <w:r w:rsidR="007E2ED0">
        <w:t xml:space="preserve"> </w:t>
      </w:r>
      <w:r>
        <w:t>un</w:t>
      </w:r>
      <w:proofErr w:type="gramEnd"/>
      <w:r>
        <w:t xml:space="preserve"> visi komisijas locekļi parakstās uz pretendentu finanšu piedāvājumiem:</w:t>
      </w:r>
    </w:p>
    <w:p w:rsidR="003F4EC4" w:rsidRDefault="003F4EC4" w:rsidP="007E2ED0">
      <w:pPr>
        <w:pStyle w:val="ListParagraph"/>
        <w:ind w:left="709"/>
        <w:jc w:val="both"/>
      </w:pPr>
    </w:p>
    <w:tbl>
      <w:tblPr>
        <w:tblStyle w:val="TableGrid"/>
        <w:tblW w:w="0" w:type="auto"/>
        <w:jc w:val="center"/>
        <w:tblInd w:w="883" w:type="dxa"/>
        <w:tblLook w:val="04A0" w:firstRow="1" w:lastRow="0" w:firstColumn="1" w:lastColumn="0" w:noHBand="0" w:noVBand="1"/>
      </w:tblPr>
      <w:tblGrid>
        <w:gridCol w:w="796"/>
        <w:gridCol w:w="2398"/>
        <w:gridCol w:w="1713"/>
      </w:tblGrid>
      <w:tr w:rsidR="007E2ED0" w:rsidRPr="007E2ED0" w:rsidTr="003E4DE0">
        <w:trPr>
          <w:jc w:val="center"/>
        </w:trPr>
        <w:tc>
          <w:tcPr>
            <w:tcW w:w="796" w:type="dxa"/>
            <w:shd w:val="clear" w:color="auto" w:fill="D6E3BC" w:themeFill="accent3" w:themeFillTint="66"/>
          </w:tcPr>
          <w:p w:rsidR="007E2ED0" w:rsidRPr="007E2ED0" w:rsidRDefault="007E2ED0" w:rsidP="007E2ED0">
            <w:pPr>
              <w:pStyle w:val="ListParagraph"/>
              <w:ind w:left="0"/>
              <w:jc w:val="both"/>
              <w:rPr>
                <w:b/>
              </w:rPr>
            </w:pPr>
          </w:p>
        </w:tc>
        <w:tc>
          <w:tcPr>
            <w:tcW w:w="2398" w:type="dxa"/>
            <w:shd w:val="clear" w:color="auto" w:fill="D6E3BC" w:themeFill="accent3" w:themeFillTint="66"/>
          </w:tcPr>
          <w:p w:rsidR="007E2ED0" w:rsidRPr="007E2ED0" w:rsidRDefault="007E2ED0" w:rsidP="007E2ED0">
            <w:pPr>
              <w:pStyle w:val="ListParagraph"/>
              <w:ind w:left="0"/>
              <w:jc w:val="both"/>
              <w:rPr>
                <w:b/>
              </w:rPr>
            </w:pPr>
            <w:r w:rsidRPr="007E2ED0">
              <w:rPr>
                <w:b/>
              </w:rPr>
              <w:t>Pretendents:</w:t>
            </w:r>
          </w:p>
        </w:tc>
        <w:tc>
          <w:tcPr>
            <w:tcW w:w="1713" w:type="dxa"/>
            <w:shd w:val="clear" w:color="auto" w:fill="D6E3BC" w:themeFill="accent3" w:themeFillTint="66"/>
          </w:tcPr>
          <w:p w:rsidR="007E2ED0" w:rsidRPr="007E2ED0" w:rsidRDefault="007E2ED0" w:rsidP="007E2ED0">
            <w:pPr>
              <w:pStyle w:val="ListParagraph"/>
              <w:ind w:left="0"/>
              <w:jc w:val="both"/>
              <w:rPr>
                <w:b/>
              </w:rPr>
            </w:pPr>
            <w:r w:rsidRPr="007E2ED0">
              <w:rPr>
                <w:b/>
              </w:rPr>
              <w:t>Piedāvātā līgumcena bez PVN:</w:t>
            </w:r>
          </w:p>
        </w:tc>
      </w:tr>
      <w:tr w:rsidR="007E2ED0" w:rsidTr="003E4DE0">
        <w:trPr>
          <w:jc w:val="center"/>
        </w:trPr>
        <w:tc>
          <w:tcPr>
            <w:tcW w:w="796" w:type="dxa"/>
          </w:tcPr>
          <w:p w:rsidR="007E2ED0" w:rsidRDefault="007E2ED0" w:rsidP="007E2ED0">
            <w:pPr>
              <w:pStyle w:val="ListParagraph"/>
              <w:numPr>
                <w:ilvl w:val="0"/>
                <w:numId w:val="4"/>
              </w:numPr>
              <w:tabs>
                <w:tab w:val="left" w:pos="0"/>
                <w:tab w:val="left" w:pos="121"/>
              </w:tabs>
              <w:jc w:val="both"/>
            </w:pPr>
          </w:p>
        </w:tc>
        <w:tc>
          <w:tcPr>
            <w:tcW w:w="2398" w:type="dxa"/>
          </w:tcPr>
          <w:p w:rsidR="007E2ED0" w:rsidRPr="003E4DE0" w:rsidRDefault="007E2ED0" w:rsidP="007E2ED0">
            <w:pPr>
              <w:jc w:val="both"/>
              <w:rPr>
                <w:b/>
              </w:rPr>
            </w:pPr>
            <w:r w:rsidRPr="003E4DE0">
              <w:rPr>
                <w:b/>
              </w:rPr>
              <w:t>SIA “MUIŽA A”</w:t>
            </w:r>
          </w:p>
        </w:tc>
        <w:tc>
          <w:tcPr>
            <w:tcW w:w="1713" w:type="dxa"/>
          </w:tcPr>
          <w:p w:rsidR="007E2ED0" w:rsidRDefault="003E4DE0" w:rsidP="007E2ED0">
            <w:pPr>
              <w:pStyle w:val="ListParagraph"/>
              <w:ind w:left="0"/>
              <w:jc w:val="both"/>
            </w:pPr>
            <w:r>
              <w:t>37 954,57</w:t>
            </w:r>
          </w:p>
        </w:tc>
      </w:tr>
      <w:tr w:rsidR="007E2ED0" w:rsidTr="003E4DE0">
        <w:trPr>
          <w:jc w:val="center"/>
        </w:trPr>
        <w:tc>
          <w:tcPr>
            <w:tcW w:w="796" w:type="dxa"/>
          </w:tcPr>
          <w:p w:rsidR="007E2ED0" w:rsidRDefault="007E2ED0" w:rsidP="007E2ED0">
            <w:pPr>
              <w:pStyle w:val="ListParagraph"/>
              <w:numPr>
                <w:ilvl w:val="0"/>
                <w:numId w:val="4"/>
              </w:numPr>
              <w:jc w:val="both"/>
            </w:pPr>
          </w:p>
        </w:tc>
        <w:tc>
          <w:tcPr>
            <w:tcW w:w="2398" w:type="dxa"/>
          </w:tcPr>
          <w:p w:rsidR="007E2ED0" w:rsidRPr="003E4DE0" w:rsidRDefault="003E4DE0" w:rsidP="007E2ED0">
            <w:pPr>
              <w:pStyle w:val="ListParagraph"/>
              <w:ind w:left="0"/>
              <w:jc w:val="both"/>
              <w:rPr>
                <w:b/>
              </w:rPr>
            </w:pPr>
            <w:r w:rsidRPr="003E4DE0">
              <w:rPr>
                <w:b/>
              </w:rPr>
              <w:t>PA SIA “ERGO JUMTI” un SIA “AUSTRUMU BŪVE”</w:t>
            </w:r>
          </w:p>
        </w:tc>
        <w:tc>
          <w:tcPr>
            <w:tcW w:w="1713" w:type="dxa"/>
          </w:tcPr>
          <w:p w:rsidR="007E2ED0" w:rsidRDefault="003E4DE0" w:rsidP="007E2ED0">
            <w:pPr>
              <w:pStyle w:val="ListParagraph"/>
              <w:ind w:left="0"/>
              <w:jc w:val="both"/>
            </w:pPr>
            <w:r>
              <w:t>32 079,81</w:t>
            </w:r>
          </w:p>
        </w:tc>
      </w:tr>
      <w:tr w:rsidR="007E2ED0" w:rsidTr="003E4DE0">
        <w:trPr>
          <w:jc w:val="center"/>
        </w:trPr>
        <w:tc>
          <w:tcPr>
            <w:tcW w:w="796" w:type="dxa"/>
          </w:tcPr>
          <w:p w:rsidR="007E2ED0" w:rsidRDefault="007E2ED0" w:rsidP="007E2ED0">
            <w:pPr>
              <w:pStyle w:val="ListParagraph"/>
              <w:numPr>
                <w:ilvl w:val="0"/>
                <w:numId w:val="4"/>
              </w:numPr>
              <w:jc w:val="both"/>
            </w:pPr>
          </w:p>
        </w:tc>
        <w:tc>
          <w:tcPr>
            <w:tcW w:w="2398" w:type="dxa"/>
          </w:tcPr>
          <w:p w:rsidR="007E2ED0" w:rsidRPr="003E4DE0" w:rsidRDefault="003E4DE0" w:rsidP="007E2ED0">
            <w:pPr>
              <w:pStyle w:val="ListParagraph"/>
              <w:ind w:left="0"/>
              <w:jc w:val="both"/>
              <w:rPr>
                <w:b/>
              </w:rPr>
            </w:pPr>
            <w:r w:rsidRPr="003E4DE0">
              <w:rPr>
                <w:b/>
              </w:rPr>
              <w:t>SIA “IN GRUPA”</w:t>
            </w:r>
          </w:p>
        </w:tc>
        <w:tc>
          <w:tcPr>
            <w:tcW w:w="1713" w:type="dxa"/>
          </w:tcPr>
          <w:p w:rsidR="007E2ED0" w:rsidRDefault="003E4DE0" w:rsidP="007E2ED0">
            <w:pPr>
              <w:pStyle w:val="ListParagraph"/>
              <w:ind w:left="0"/>
              <w:jc w:val="both"/>
            </w:pPr>
            <w:r>
              <w:t>32 145,39</w:t>
            </w:r>
          </w:p>
        </w:tc>
      </w:tr>
      <w:tr w:rsidR="007E2ED0" w:rsidTr="003E4DE0">
        <w:trPr>
          <w:jc w:val="center"/>
        </w:trPr>
        <w:tc>
          <w:tcPr>
            <w:tcW w:w="796" w:type="dxa"/>
          </w:tcPr>
          <w:p w:rsidR="007E2ED0" w:rsidRDefault="007E2ED0" w:rsidP="007E2ED0">
            <w:pPr>
              <w:pStyle w:val="ListParagraph"/>
              <w:numPr>
                <w:ilvl w:val="0"/>
                <w:numId w:val="4"/>
              </w:numPr>
              <w:jc w:val="both"/>
            </w:pPr>
          </w:p>
        </w:tc>
        <w:tc>
          <w:tcPr>
            <w:tcW w:w="2398" w:type="dxa"/>
          </w:tcPr>
          <w:p w:rsidR="007E2ED0" w:rsidRPr="003E4DE0" w:rsidRDefault="003E4DE0" w:rsidP="007E2ED0">
            <w:pPr>
              <w:pStyle w:val="ListParagraph"/>
              <w:ind w:left="0"/>
              <w:jc w:val="both"/>
              <w:rPr>
                <w:b/>
              </w:rPr>
            </w:pPr>
            <w:r w:rsidRPr="003E4DE0">
              <w:rPr>
                <w:b/>
              </w:rPr>
              <w:t>SIA “PROPETEX”</w:t>
            </w:r>
          </w:p>
        </w:tc>
        <w:tc>
          <w:tcPr>
            <w:tcW w:w="1713" w:type="dxa"/>
          </w:tcPr>
          <w:p w:rsidR="007E2ED0" w:rsidRDefault="003E4DE0" w:rsidP="007E2ED0">
            <w:pPr>
              <w:pStyle w:val="ListParagraph"/>
              <w:ind w:left="0"/>
              <w:jc w:val="both"/>
            </w:pPr>
            <w:r>
              <w:t>35 757,68</w:t>
            </w:r>
          </w:p>
        </w:tc>
      </w:tr>
      <w:tr w:rsidR="007E2ED0" w:rsidTr="003E4DE0">
        <w:trPr>
          <w:jc w:val="center"/>
        </w:trPr>
        <w:tc>
          <w:tcPr>
            <w:tcW w:w="796" w:type="dxa"/>
          </w:tcPr>
          <w:p w:rsidR="007E2ED0" w:rsidRDefault="007E2ED0" w:rsidP="007E2ED0">
            <w:pPr>
              <w:pStyle w:val="ListParagraph"/>
              <w:numPr>
                <w:ilvl w:val="0"/>
                <w:numId w:val="4"/>
              </w:numPr>
              <w:jc w:val="both"/>
            </w:pPr>
          </w:p>
        </w:tc>
        <w:tc>
          <w:tcPr>
            <w:tcW w:w="2398" w:type="dxa"/>
          </w:tcPr>
          <w:p w:rsidR="007E2ED0" w:rsidRPr="003E4DE0" w:rsidRDefault="003E4DE0" w:rsidP="007E2ED0">
            <w:pPr>
              <w:pStyle w:val="ListParagraph"/>
              <w:ind w:left="0"/>
              <w:jc w:val="both"/>
              <w:rPr>
                <w:b/>
              </w:rPr>
            </w:pPr>
            <w:r w:rsidRPr="003E4DE0">
              <w:rPr>
                <w:b/>
              </w:rPr>
              <w:t>SIA “BK MĀJA”</w:t>
            </w:r>
          </w:p>
        </w:tc>
        <w:tc>
          <w:tcPr>
            <w:tcW w:w="1713" w:type="dxa"/>
          </w:tcPr>
          <w:p w:rsidR="007E2ED0" w:rsidRDefault="003E4DE0" w:rsidP="007E2ED0">
            <w:pPr>
              <w:pStyle w:val="ListParagraph"/>
              <w:ind w:left="0"/>
              <w:jc w:val="both"/>
            </w:pPr>
            <w:r>
              <w:t>37 830,88</w:t>
            </w:r>
          </w:p>
        </w:tc>
      </w:tr>
    </w:tbl>
    <w:p w:rsidR="007E2ED0" w:rsidRDefault="007E2ED0" w:rsidP="007E2ED0">
      <w:pPr>
        <w:pStyle w:val="ListParagraph"/>
        <w:ind w:left="709"/>
        <w:jc w:val="both"/>
      </w:pPr>
    </w:p>
    <w:p w:rsidR="007E2ED0" w:rsidRDefault="007E2ED0" w:rsidP="007E2ED0">
      <w:pPr>
        <w:pStyle w:val="ListParagraph"/>
        <w:ind w:left="709"/>
        <w:jc w:val="both"/>
      </w:pPr>
    </w:p>
    <w:p w:rsidR="006D4EB2" w:rsidRDefault="006D4EB2" w:rsidP="006D4EB2">
      <w:pPr>
        <w:pStyle w:val="ListParagraph"/>
        <w:numPr>
          <w:ilvl w:val="0"/>
          <w:numId w:val="3"/>
        </w:numPr>
        <w:spacing w:before="120" w:after="120"/>
        <w:ind w:left="709" w:hanging="709"/>
        <w:contextualSpacing w:val="0"/>
        <w:jc w:val="both"/>
      </w:pPr>
      <w:r>
        <w:lastRenderedPageBreak/>
        <w:t>Komisija uzsāk pretendentu piedāvājumu izvērtēšanu.</w:t>
      </w:r>
    </w:p>
    <w:p w:rsidR="006D4EB2" w:rsidRDefault="006D4EB2" w:rsidP="006D4EB2">
      <w:pPr>
        <w:pStyle w:val="ListParagraph"/>
        <w:numPr>
          <w:ilvl w:val="0"/>
          <w:numId w:val="3"/>
        </w:numPr>
        <w:spacing w:before="120" w:after="120"/>
        <w:ind w:left="709" w:hanging="709"/>
        <w:contextualSpacing w:val="0"/>
        <w:jc w:val="both"/>
      </w:pPr>
      <w:r>
        <w:t>Komisija secina, ka visu pretendentu piedāvājumi noformēti atbilstoši nolikuma un normatīvo aktu prasībām.</w:t>
      </w:r>
    </w:p>
    <w:p w:rsidR="006D4EB2" w:rsidRDefault="006C06C6" w:rsidP="006D4EB2">
      <w:pPr>
        <w:pStyle w:val="ListParagraph"/>
        <w:numPr>
          <w:ilvl w:val="0"/>
          <w:numId w:val="3"/>
        </w:numPr>
        <w:spacing w:before="120" w:after="120"/>
        <w:ind w:left="709" w:hanging="709"/>
        <w:contextualSpacing w:val="0"/>
        <w:jc w:val="both"/>
      </w:pPr>
      <w:r>
        <w:t xml:space="preserve">Komisija uzsāk </w:t>
      </w:r>
      <w:r w:rsidRPr="006C06C6">
        <w:t>SIA “MUIŽA A”,</w:t>
      </w:r>
      <w:r w:rsidR="006D4EB2" w:rsidRPr="006C06C6">
        <w:t xml:space="preserve"> </w:t>
      </w:r>
      <w:r>
        <w:t>personu apvienības</w:t>
      </w:r>
      <w:r w:rsidRPr="006C06C6">
        <w:t xml:space="preserve"> SIA “ERGO JUMTI” un SIA “AUSTRUMU BŪVE”, SIA “IN GRUPA”, SIA “PROPETEX” un SIA “BK MĀJA”</w:t>
      </w:r>
      <w:r>
        <w:rPr>
          <w:b/>
        </w:rPr>
        <w:t xml:space="preserve"> </w:t>
      </w:r>
      <w:r w:rsidR="006D4EB2">
        <w:t>kvalifikācijas dokumentu izvērtēšanu.</w:t>
      </w:r>
    </w:p>
    <w:p w:rsidR="006C06C6" w:rsidRDefault="006C06C6" w:rsidP="006D4EB2">
      <w:pPr>
        <w:pStyle w:val="ListParagraph"/>
        <w:numPr>
          <w:ilvl w:val="0"/>
          <w:numId w:val="3"/>
        </w:numPr>
        <w:spacing w:before="120" w:after="120"/>
        <w:ind w:left="709" w:hanging="709"/>
        <w:contextualSpacing w:val="0"/>
        <w:jc w:val="both"/>
      </w:pPr>
      <w:r>
        <w:t xml:space="preserve">Komisija secina, ka </w:t>
      </w:r>
      <w:r w:rsidRPr="006C06C6">
        <w:t>SIA “MUIŽA A”</w:t>
      </w:r>
      <w:r>
        <w:t xml:space="preserve"> un </w:t>
      </w:r>
      <w:r w:rsidRPr="006C06C6">
        <w:t>SIA “BK MĀJA”</w:t>
      </w:r>
      <w:r>
        <w:t xml:space="preserve"> kvalifikācija atbilst nolikuma prasībām.</w:t>
      </w:r>
    </w:p>
    <w:p w:rsidR="001A6332" w:rsidRDefault="006C06C6" w:rsidP="008F5783">
      <w:pPr>
        <w:pStyle w:val="ListParagraph"/>
        <w:numPr>
          <w:ilvl w:val="0"/>
          <w:numId w:val="3"/>
        </w:numPr>
        <w:spacing w:before="120" w:after="120"/>
        <w:ind w:left="709" w:hanging="709"/>
        <w:contextualSpacing w:val="0"/>
        <w:jc w:val="both"/>
      </w:pPr>
      <w:r>
        <w:t>Izvērtējot personu apvienības</w:t>
      </w:r>
      <w:r w:rsidRPr="006C06C6">
        <w:t xml:space="preserve"> SIA “ERGO JUMTI” un SIA “AUSTRUMU BŪVE”</w:t>
      </w:r>
      <w:r>
        <w:t xml:space="preserve"> kvalifikācijas dokumentus, komisija secina, ka </w:t>
      </w:r>
      <w:r w:rsidR="00145F52">
        <w:t>pretendenta piedāvājuma 17.lpp. iekļauta informācija par 2 (diviem) realizētajiem līgumiem. Piedāvājuma 18.-25.lpp. ir iekļauta informācija par līgumu Nr.1., no kuras ir skaidri secināms, ka ģenerāluzņēmējs objekta būvdarbos nav bijis personu apvienības</w:t>
      </w:r>
      <w:r w:rsidR="00145F52" w:rsidRPr="006C06C6">
        <w:t xml:space="preserve"> SIA “ERGO JUMTI” un SIA “AUSTRUMU BŪVE”</w:t>
      </w:r>
      <w:r w:rsidR="008F5783">
        <w:t xml:space="preserve"> biedrs, bet gan SIA “PRO FORMA”</w:t>
      </w:r>
      <w:r w:rsidR="00E60DFD">
        <w:t xml:space="preserve">, savukārt </w:t>
      </w:r>
      <w:r w:rsidR="00E60DFD" w:rsidRPr="006C06C6">
        <w:t>SIA “AUSTRUMU BŪVE”</w:t>
      </w:r>
      <w:proofErr w:type="gramStart"/>
      <w:r w:rsidR="00E60DFD">
        <w:t xml:space="preserve">  </w:t>
      </w:r>
      <w:proofErr w:type="gramEnd"/>
      <w:r w:rsidR="00E60DFD">
        <w:t>ir bijis apakšuzņēmējs.</w:t>
      </w:r>
      <w:r w:rsidR="008F5783">
        <w:t xml:space="preserve"> Ņemot vērā konstatēto, komisija secina, ka personu apvienības</w:t>
      </w:r>
      <w:r w:rsidR="008F5783" w:rsidRPr="006C06C6">
        <w:t xml:space="preserve"> SIA “ERGO JUMTI” un SIA “AUSTRUMU BŪVE”</w:t>
      </w:r>
      <w:r w:rsidR="008F5783">
        <w:t xml:space="preserve"> kvalifikācija neatbilst nolikuma 6.3.punkta prasībām, jo </w:t>
      </w:r>
      <w:r w:rsidR="001A6332">
        <w:t xml:space="preserve">norādītajā objektā </w:t>
      </w:r>
      <w:r w:rsidR="008F5783">
        <w:t xml:space="preserve">pretendenta dalībnieks </w:t>
      </w:r>
      <w:r w:rsidR="008F5783" w:rsidRPr="006C06C6">
        <w:t>SIA “AUSTRUMU BŪVE”</w:t>
      </w:r>
      <w:r w:rsidR="008F5783">
        <w:t xml:space="preserve"> </w:t>
      </w:r>
      <w:r w:rsidR="001A6332">
        <w:t xml:space="preserve">nav guvis pieredzi ģenerāluzņēmēja statusā. </w:t>
      </w:r>
    </w:p>
    <w:p w:rsidR="001A6332" w:rsidRPr="00E60DFD" w:rsidRDefault="001A6332" w:rsidP="00E60DFD">
      <w:pPr>
        <w:pStyle w:val="ListParagraph"/>
        <w:numPr>
          <w:ilvl w:val="0"/>
          <w:numId w:val="3"/>
        </w:numPr>
        <w:shd w:val="clear" w:color="auto" w:fill="D6E3BC" w:themeFill="accent3" w:themeFillTint="66"/>
        <w:spacing w:before="120" w:after="120"/>
        <w:ind w:left="709" w:hanging="709"/>
        <w:contextualSpacing w:val="0"/>
        <w:jc w:val="both"/>
        <w:rPr>
          <w:b/>
        </w:rPr>
      </w:pPr>
      <w:r w:rsidRPr="00E60DFD">
        <w:rPr>
          <w:b/>
        </w:rPr>
        <w:t xml:space="preserve">Ņemot vērā iepriekš minēto, komisija vienbalsīgi nolemj izslēgt </w:t>
      </w:r>
      <w:r w:rsidR="00E60DFD" w:rsidRPr="00E60DFD">
        <w:rPr>
          <w:b/>
        </w:rPr>
        <w:t>personu apvienības SIA “ERGO JUMTI” un SIA “AUSTRUMU BŪVE”</w:t>
      </w:r>
      <w:r w:rsidRPr="00E60DFD">
        <w:rPr>
          <w:b/>
        </w:rPr>
        <w:t xml:space="preserve"> piedāvājumu no turpmākas piedāvājumu izvērtēšanas, atzīstot to par neatbilstošu nolikuma 6.3.punkta prasībām.</w:t>
      </w:r>
    </w:p>
    <w:p w:rsidR="001A6332" w:rsidRDefault="00E60DFD" w:rsidP="006D4EB2">
      <w:pPr>
        <w:pStyle w:val="ListParagraph"/>
        <w:numPr>
          <w:ilvl w:val="0"/>
          <w:numId w:val="3"/>
        </w:numPr>
        <w:spacing w:before="120" w:after="120"/>
        <w:ind w:left="709" w:hanging="709"/>
        <w:contextualSpacing w:val="0"/>
        <w:jc w:val="both"/>
      </w:pPr>
      <w:r>
        <w:t xml:space="preserve">Komisija turpina piedāvājumu izvērtēšanu, izvērtējot </w:t>
      </w:r>
      <w:r w:rsidRPr="006C06C6">
        <w:t>SIA “IN GRUPA”</w:t>
      </w:r>
      <w:r>
        <w:t xml:space="preserve"> kvalifikācijas dokumentus. Komisija secina, ka kopumā piedāvājums atzīstams par atbilstošu </w:t>
      </w:r>
      <w:r w:rsidR="00F21F2A">
        <w:t xml:space="preserve">nolikumā izvirzītajām kvalifikācijas prasībām. R.Šteina rosina pārbaudīt </w:t>
      </w:r>
      <w:r w:rsidR="00F21F2A" w:rsidRPr="006C06C6">
        <w:t>SIA “IN GRUPA”</w:t>
      </w:r>
      <w:r w:rsidR="00F21F2A">
        <w:t xml:space="preserve"> piedāvājumā iekļautās informācijas patiesumu par minētajiem objektiem, pieprasot pretendentam iesniegt darījumus apliecinošus dokumentus. Komisija piekrīt R.Šteinas ierosinājumam.</w:t>
      </w:r>
    </w:p>
    <w:p w:rsidR="00401C4D" w:rsidRDefault="00F21F2A" w:rsidP="006D4EB2">
      <w:pPr>
        <w:pStyle w:val="ListParagraph"/>
        <w:numPr>
          <w:ilvl w:val="0"/>
          <w:numId w:val="3"/>
        </w:numPr>
        <w:spacing w:before="120" w:after="120"/>
        <w:ind w:left="709" w:hanging="709"/>
        <w:contextualSpacing w:val="0"/>
        <w:jc w:val="both"/>
      </w:pPr>
      <w:r>
        <w:t xml:space="preserve">Komisija turpina piedāvājumu izvērtēšanu, izvērtējot </w:t>
      </w:r>
      <w:r w:rsidR="00696972" w:rsidRPr="006C06C6">
        <w:t>SIA “PROPETEX”</w:t>
      </w:r>
      <w:r w:rsidR="00696972">
        <w:t xml:space="preserve"> </w:t>
      </w:r>
      <w:r>
        <w:t>kvalifikācijas dokumentus.</w:t>
      </w:r>
      <w:r w:rsidR="00696972">
        <w:t xml:space="preserve"> Komisija secina, ka pretendenta piedāvājumā (4.lp.) ir iekļauts dokuments – “Veikto būvdarbu saraksts”, tomēr piedāvājumā </w:t>
      </w:r>
      <w:r w:rsidR="00D32190">
        <w:t xml:space="preserve">nav iekļauta jebkāda cita kvalifikāciju apliecinoša dokumentācija – pretendentu atsauksmes, objektu pieņemšanas – nodošanas akti, būves ekspluatācijā pieņemšanas akti, būvatļaujas vai citi objektu būvniecības faktu apstiprinoši dokumenti, kas pieprasīti nolikuma </w:t>
      </w:r>
      <w:r w:rsidR="00401C4D">
        <w:t>7.5.punktā</w:t>
      </w:r>
      <w:r w:rsidR="00A861AB">
        <w:t xml:space="preserve"> un kas dotu pasūtītājam iespēju pārliecināties par pretendenta atbilstību nolikuma 6.3.punkta prasībām</w:t>
      </w:r>
      <w:r w:rsidR="00401C4D">
        <w:t>. Komisija apspriež, ka prasība iekļaut piedāvājumā pozitīvu atsauksmi un objektu būvniecību pierādāmus dokumentus saskaņā ar nolikuma 7.5.punktu bija obligāta, tādējādi nav iespējams pretendentam pieprasīt trūkstošo dokumentu iesniegšanu, jo tas būtu pretrunā vienlīdzīgas un taisnīgas attieksmes pret visiem pretendentiem principam.</w:t>
      </w:r>
    </w:p>
    <w:p w:rsidR="00A861AB" w:rsidRPr="00E60DFD" w:rsidRDefault="00D32190" w:rsidP="00A861AB">
      <w:pPr>
        <w:pStyle w:val="ListParagraph"/>
        <w:numPr>
          <w:ilvl w:val="0"/>
          <w:numId w:val="3"/>
        </w:numPr>
        <w:shd w:val="clear" w:color="auto" w:fill="D6E3BC" w:themeFill="accent3" w:themeFillTint="66"/>
        <w:spacing w:before="120" w:after="120"/>
        <w:ind w:left="709" w:hanging="709"/>
        <w:contextualSpacing w:val="0"/>
        <w:jc w:val="both"/>
        <w:rPr>
          <w:b/>
        </w:rPr>
      </w:pPr>
      <w:r>
        <w:t xml:space="preserve"> </w:t>
      </w:r>
      <w:r w:rsidR="00A861AB" w:rsidRPr="00E60DFD">
        <w:rPr>
          <w:b/>
        </w:rPr>
        <w:t xml:space="preserve">Ņemot vērā iepriekš minēto, komisija vienbalsīgi nolemj izslēgt </w:t>
      </w:r>
      <w:r w:rsidR="00A861AB" w:rsidRPr="00A861AB">
        <w:rPr>
          <w:b/>
        </w:rPr>
        <w:t>SIA “PROPETEX”</w:t>
      </w:r>
      <w:r w:rsidR="00A861AB">
        <w:rPr>
          <w:b/>
        </w:rPr>
        <w:t xml:space="preserve"> </w:t>
      </w:r>
      <w:r w:rsidR="00A861AB" w:rsidRPr="00E60DFD">
        <w:rPr>
          <w:b/>
        </w:rPr>
        <w:t xml:space="preserve">piedāvājumu no turpmākas piedāvājumu izvērtēšanas, atzīstot to par neatbilstošu nolikuma 6.3.punkta </w:t>
      </w:r>
      <w:r w:rsidR="00A861AB">
        <w:rPr>
          <w:b/>
        </w:rPr>
        <w:t xml:space="preserve">un 7.5.punkta </w:t>
      </w:r>
      <w:r w:rsidR="00A861AB" w:rsidRPr="00E60DFD">
        <w:rPr>
          <w:b/>
        </w:rPr>
        <w:t>prasībām.</w:t>
      </w:r>
    </w:p>
    <w:p w:rsidR="00F21F2A" w:rsidRDefault="0093423C" w:rsidP="006D4EB2">
      <w:pPr>
        <w:pStyle w:val="ListParagraph"/>
        <w:numPr>
          <w:ilvl w:val="0"/>
          <w:numId w:val="3"/>
        </w:numPr>
        <w:spacing w:before="120" w:after="120"/>
        <w:ind w:left="709" w:hanging="709"/>
        <w:contextualSpacing w:val="0"/>
        <w:jc w:val="both"/>
      </w:pPr>
      <w:r>
        <w:t>Komisija lemj turpināt piedāvājumu izvērtēšanu kādā no turpmākajām komisijas sēdēm.</w:t>
      </w:r>
    </w:p>
    <w:p w:rsidR="00272811" w:rsidRDefault="00272811" w:rsidP="00A23093">
      <w:pPr>
        <w:shd w:val="clear" w:color="auto" w:fill="D6E3BC" w:themeFill="accent3" w:themeFillTint="66"/>
        <w:ind w:firstLine="720"/>
        <w:jc w:val="both"/>
      </w:pPr>
    </w:p>
    <w:p w:rsidR="00272811" w:rsidRDefault="00272811" w:rsidP="00A23093">
      <w:pPr>
        <w:shd w:val="clear" w:color="auto" w:fill="D6E3BC" w:themeFill="accent3" w:themeFillTint="66"/>
        <w:jc w:val="both"/>
        <w:rPr>
          <w:b/>
          <w:bCs/>
        </w:rPr>
      </w:pPr>
      <w:r>
        <w:rPr>
          <w:b/>
          <w:bCs/>
        </w:rPr>
        <w:t xml:space="preserve">Komisija </w:t>
      </w:r>
      <w:r w:rsidR="002C6EA2">
        <w:rPr>
          <w:b/>
          <w:bCs/>
        </w:rPr>
        <w:t xml:space="preserve">vienbalsīgi </w:t>
      </w:r>
      <w:r>
        <w:rPr>
          <w:b/>
          <w:bCs/>
        </w:rPr>
        <w:t xml:space="preserve">nolemj: </w:t>
      </w:r>
    </w:p>
    <w:p w:rsidR="002C6EA2" w:rsidRDefault="002C6EA2" w:rsidP="00A23093">
      <w:pPr>
        <w:numPr>
          <w:ilvl w:val="0"/>
          <w:numId w:val="1"/>
        </w:numPr>
        <w:shd w:val="clear" w:color="auto" w:fill="D6E3BC" w:themeFill="accent3" w:themeFillTint="66"/>
        <w:tabs>
          <w:tab w:val="num" w:pos="720"/>
        </w:tabs>
        <w:ind w:left="720" w:hanging="720"/>
        <w:jc w:val="both"/>
      </w:pPr>
      <w:r>
        <w:t>Turpināt piedāvājumu izvērtēšanu kādā no turpmākajām komisijas sēdēm.</w:t>
      </w:r>
    </w:p>
    <w:p w:rsidR="00272811" w:rsidRDefault="00272811" w:rsidP="00272811">
      <w:pPr>
        <w:jc w:val="both"/>
        <w:rPr>
          <w:b/>
          <w:bCs/>
        </w:rPr>
      </w:pPr>
    </w:p>
    <w:p w:rsidR="00272811" w:rsidRDefault="00272811" w:rsidP="00272811">
      <w:pPr>
        <w:jc w:val="both"/>
      </w:pPr>
      <w:r>
        <w:rPr>
          <w:b/>
          <w:bCs/>
        </w:rPr>
        <w:t>Sēdi slēdz:</w:t>
      </w:r>
      <w:r>
        <w:t xml:space="preserve"> </w:t>
      </w:r>
    </w:p>
    <w:p w:rsidR="00272811" w:rsidRDefault="00272811" w:rsidP="00272811">
      <w:pPr>
        <w:ind w:firstLine="720"/>
        <w:jc w:val="both"/>
      </w:pPr>
      <w:r>
        <w:t>Komisijas pri</w:t>
      </w:r>
      <w:r w:rsidR="008C4B3C">
        <w:t>ekšsēdētājs</w:t>
      </w:r>
      <w:r w:rsidR="00E14B63">
        <w:t xml:space="preserve"> sēdi </w:t>
      </w:r>
      <w:r w:rsidR="00533F59">
        <w:t>slēdz plkst. 1</w:t>
      </w:r>
      <w:r w:rsidR="002C6EA2">
        <w:t>1</w:t>
      </w:r>
      <w:r w:rsidR="00533F59">
        <w:t>:3</w:t>
      </w:r>
      <w:r>
        <w:t>0.</w:t>
      </w:r>
    </w:p>
    <w:p w:rsidR="00272811" w:rsidRDefault="00272811" w:rsidP="00272811">
      <w:pPr>
        <w:jc w:val="both"/>
      </w:pPr>
    </w:p>
    <w:p w:rsidR="00272811" w:rsidRDefault="00272811" w:rsidP="00272811">
      <w:pPr>
        <w:jc w:val="both"/>
      </w:pPr>
    </w:p>
    <w:p w:rsidR="00272811" w:rsidRDefault="00272811" w:rsidP="00272811"/>
    <w:p w:rsidR="00272811" w:rsidRDefault="00272811" w:rsidP="00272811">
      <w:pPr>
        <w:jc w:val="both"/>
      </w:pPr>
    </w:p>
    <w:p w:rsidR="00E14B63" w:rsidRDefault="00120ACA" w:rsidP="00E14B63">
      <w:pPr>
        <w:ind w:right="-694"/>
        <w:jc w:val="both"/>
      </w:pPr>
      <w:r>
        <w:t>Ko</w:t>
      </w:r>
      <w:r w:rsidR="008C4B3C">
        <w:t>misijas priekšsēdētājs</w:t>
      </w:r>
      <w:r>
        <w:t>:</w:t>
      </w:r>
      <w:r w:rsidR="008C4B3C">
        <w:tab/>
      </w:r>
      <w:r>
        <w:t xml:space="preserve"> </w:t>
      </w:r>
      <w:r>
        <w:tab/>
      </w:r>
      <w:r w:rsidR="00E14B63">
        <w:t>_____________________</w:t>
      </w:r>
      <w:r w:rsidR="00E14B63">
        <w:tab/>
      </w:r>
      <w:r w:rsidR="008C4B3C">
        <w:t>V. Bulāns</w:t>
      </w:r>
      <w:r w:rsidR="00E14B63">
        <w:t xml:space="preserve"> </w:t>
      </w:r>
    </w:p>
    <w:p w:rsidR="00E14B63" w:rsidRDefault="00E14B63" w:rsidP="00E14B63">
      <w:pPr>
        <w:ind w:right="-694"/>
        <w:jc w:val="both"/>
      </w:pPr>
    </w:p>
    <w:p w:rsidR="00097C01" w:rsidRDefault="00E14B63" w:rsidP="000B4CF5">
      <w:pPr>
        <w:ind w:right="-694"/>
        <w:jc w:val="both"/>
      </w:pPr>
      <w:r>
        <w:t>Komisijas locekļi:</w:t>
      </w:r>
      <w:r>
        <w:tab/>
      </w:r>
      <w:r w:rsidR="00097C01">
        <w:tab/>
      </w:r>
      <w:r w:rsidR="00097C01">
        <w:tab/>
        <w:t>_____________________</w:t>
      </w:r>
      <w:r w:rsidR="00097C01">
        <w:tab/>
      </w:r>
      <w:r w:rsidR="008C4B3C">
        <w:t>R. Šteina</w:t>
      </w:r>
    </w:p>
    <w:p w:rsidR="008C4B3C" w:rsidRDefault="008C4B3C" w:rsidP="000B4CF5">
      <w:pPr>
        <w:ind w:right="-694"/>
        <w:jc w:val="both"/>
      </w:pPr>
    </w:p>
    <w:p w:rsidR="008C4B3C" w:rsidRDefault="008C4B3C" w:rsidP="000B4CF5">
      <w:pPr>
        <w:ind w:right="-694"/>
        <w:jc w:val="both"/>
      </w:pPr>
      <w:r>
        <w:tab/>
      </w:r>
      <w:r>
        <w:tab/>
      </w:r>
      <w:r>
        <w:tab/>
      </w:r>
      <w:r>
        <w:tab/>
      </w:r>
      <w:r>
        <w:tab/>
        <w:t>_____________________</w:t>
      </w:r>
      <w:r>
        <w:tab/>
        <w:t>E. Kāpa</w:t>
      </w:r>
    </w:p>
    <w:p w:rsidR="00E14B63" w:rsidRDefault="00E14B63" w:rsidP="00E14B63"/>
    <w:p w:rsidR="00E14B63" w:rsidRDefault="00E14B63" w:rsidP="00E14B63">
      <w:r>
        <w:tab/>
      </w:r>
      <w:r>
        <w:tab/>
      </w:r>
      <w:r>
        <w:tab/>
      </w:r>
      <w:r>
        <w:tab/>
      </w:r>
      <w:r>
        <w:tab/>
        <w:t>_____________________</w:t>
      </w:r>
      <w:r>
        <w:tab/>
        <w:t>U. Dambis</w:t>
      </w:r>
    </w:p>
    <w:p w:rsidR="00284A5E" w:rsidRDefault="00284A5E" w:rsidP="00E14B63"/>
    <w:p w:rsidR="00284A5E" w:rsidRDefault="00284A5E" w:rsidP="00E14B63">
      <w:r>
        <w:tab/>
      </w:r>
      <w:r>
        <w:tab/>
      </w:r>
      <w:r>
        <w:tab/>
      </w:r>
      <w:r>
        <w:tab/>
      </w:r>
      <w:r>
        <w:tab/>
        <w:t>_____________________</w:t>
      </w:r>
      <w:r>
        <w:tab/>
      </w:r>
      <w:r w:rsidR="008C4B3C">
        <w:t>A. Brūvers</w:t>
      </w:r>
    </w:p>
    <w:p w:rsidR="00FC6BB4" w:rsidRDefault="00FC6BB4" w:rsidP="00E14B63"/>
    <w:p w:rsidR="00FC6BB4" w:rsidRDefault="00FC6BB4" w:rsidP="00E14B63">
      <w:r>
        <w:tab/>
      </w:r>
      <w:r>
        <w:tab/>
      </w:r>
      <w:r>
        <w:tab/>
      </w:r>
      <w:r>
        <w:tab/>
      </w:r>
      <w:r>
        <w:tab/>
        <w:t>_____________________</w:t>
      </w:r>
      <w:bookmarkStart w:id="0" w:name="_GoBack"/>
      <w:bookmarkEnd w:id="0"/>
      <w:r>
        <w:tab/>
        <w:t>H. Krasts</w:t>
      </w:r>
    </w:p>
    <w:p w:rsidR="00FC6BB4" w:rsidRDefault="00FC6BB4" w:rsidP="00E14B63"/>
    <w:p w:rsidR="00FC6BB4" w:rsidRDefault="00FC6BB4" w:rsidP="00E14B63">
      <w:r>
        <w:tab/>
      </w:r>
      <w:r>
        <w:tab/>
      </w:r>
      <w:r>
        <w:tab/>
      </w:r>
      <w:r>
        <w:tab/>
      </w:r>
      <w:r>
        <w:tab/>
        <w:t>_____________________</w:t>
      </w:r>
      <w:r>
        <w:tab/>
        <w:t>A. Liepiņa-Jākobsone</w:t>
      </w:r>
    </w:p>
    <w:p w:rsidR="00E14B63" w:rsidRDefault="00E14B63" w:rsidP="00E14B63"/>
    <w:p w:rsidR="00B5557C" w:rsidRDefault="00B5557C" w:rsidP="00272811"/>
    <w:p w:rsidR="00272811" w:rsidRDefault="00B5557C" w:rsidP="00272811">
      <w:r>
        <w:tab/>
      </w:r>
      <w:r>
        <w:tab/>
      </w:r>
      <w:r>
        <w:tab/>
      </w:r>
      <w:r>
        <w:tab/>
      </w:r>
      <w:r>
        <w:tab/>
      </w:r>
    </w:p>
    <w:p w:rsidR="00272811" w:rsidRDefault="00272811" w:rsidP="00272811">
      <w:r>
        <w:tab/>
      </w:r>
      <w:r>
        <w:tab/>
      </w:r>
      <w:r>
        <w:tab/>
      </w:r>
      <w:r>
        <w:tab/>
      </w:r>
      <w:r>
        <w:tab/>
      </w:r>
    </w:p>
    <w:p w:rsidR="00272811" w:rsidRDefault="00272811" w:rsidP="00272811"/>
    <w:p w:rsidR="006B6501" w:rsidRDefault="006B6501"/>
    <w:sectPr w:rsidR="006B6501" w:rsidSect="00FC6BB4">
      <w:pgSz w:w="11906" w:h="16838"/>
      <w:pgMar w:top="1440" w:right="141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B0E14"/>
    <w:multiLevelType w:val="hybridMultilevel"/>
    <w:tmpl w:val="6B1434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A4A4F64"/>
    <w:multiLevelType w:val="hybridMultilevel"/>
    <w:tmpl w:val="91DA01DE"/>
    <w:lvl w:ilvl="0" w:tplc="7340D3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nsid w:val="2C881048"/>
    <w:multiLevelType w:val="hybridMultilevel"/>
    <w:tmpl w:val="B4F21E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364C5140"/>
    <w:multiLevelType w:val="hybridMultilevel"/>
    <w:tmpl w:val="F6F23A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514C11B5"/>
    <w:multiLevelType w:val="hybridMultilevel"/>
    <w:tmpl w:val="4700203C"/>
    <w:lvl w:ilvl="0" w:tplc="C9F685B8">
      <w:start w:val="1"/>
      <w:numFmt w:val="decimal"/>
      <w:lvlText w:val="%1."/>
      <w:lvlJc w:val="left"/>
      <w:pPr>
        <w:tabs>
          <w:tab w:val="num" w:pos="1170"/>
        </w:tabs>
        <w:ind w:left="1170" w:hanging="450"/>
      </w:p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5">
    <w:nsid w:val="63FA4C3B"/>
    <w:multiLevelType w:val="hybridMultilevel"/>
    <w:tmpl w:val="9D4850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35D"/>
    <w:rsid w:val="00023654"/>
    <w:rsid w:val="0009587F"/>
    <w:rsid w:val="00097C01"/>
    <w:rsid w:val="000B0B2D"/>
    <w:rsid w:val="000B4CF5"/>
    <w:rsid w:val="000C04A9"/>
    <w:rsid w:val="000C31E3"/>
    <w:rsid w:val="00120ACA"/>
    <w:rsid w:val="00145F52"/>
    <w:rsid w:val="001464BD"/>
    <w:rsid w:val="00146516"/>
    <w:rsid w:val="001A6332"/>
    <w:rsid w:val="001D5B3D"/>
    <w:rsid w:val="001E56B8"/>
    <w:rsid w:val="001F4577"/>
    <w:rsid w:val="0020090F"/>
    <w:rsid w:val="0025242B"/>
    <w:rsid w:val="002716BB"/>
    <w:rsid w:val="00272811"/>
    <w:rsid w:val="00284A5E"/>
    <w:rsid w:val="002A1C45"/>
    <w:rsid w:val="002A54C7"/>
    <w:rsid w:val="002A72D5"/>
    <w:rsid w:val="002C6EA2"/>
    <w:rsid w:val="003241BF"/>
    <w:rsid w:val="00347760"/>
    <w:rsid w:val="00381801"/>
    <w:rsid w:val="003D1793"/>
    <w:rsid w:val="003D52F4"/>
    <w:rsid w:val="003D78D5"/>
    <w:rsid w:val="003E4DE0"/>
    <w:rsid w:val="003E6729"/>
    <w:rsid w:val="003F4EC4"/>
    <w:rsid w:val="00401C4D"/>
    <w:rsid w:val="0045036C"/>
    <w:rsid w:val="0045072A"/>
    <w:rsid w:val="00463D9A"/>
    <w:rsid w:val="004671C4"/>
    <w:rsid w:val="00480548"/>
    <w:rsid w:val="00487F2D"/>
    <w:rsid w:val="004C478A"/>
    <w:rsid w:val="004C6313"/>
    <w:rsid w:val="004E5069"/>
    <w:rsid w:val="00533F59"/>
    <w:rsid w:val="00553B33"/>
    <w:rsid w:val="00570800"/>
    <w:rsid w:val="005770F2"/>
    <w:rsid w:val="00580D28"/>
    <w:rsid w:val="005913ED"/>
    <w:rsid w:val="005D66B5"/>
    <w:rsid w:val="00600BFE"/>
    <w:rsid w:val="006208C5"/>
    <w:rsid w:val="00650725"/>
    <w:rsid w:val="00696972"/>
    <w:rsid w:val="006B2C5B"/>
    <w:rsid w:val="006B41FA"/>
    <w:rsid w:val="006B4E61"/>
    <w:rsid w:val="006B6501"/>
    <w:rsid w:val="006B68BA"/>
    <w:rsid w:val="006C06C6"/>
    <w:rsid w:val="006D295B"/>
    <w:rsid w:val="006D4EB2"/>
    <w:rsid w:val="007079A4"/>
    <w:rsid w:val="00766450"/>
    <w:rsid w:val="007E2ED0"/>
    <w:rsid w:val="00805173"/>
    <w:rsid w:val="00805548"/>
    <w:rsid w:val="0081596C"/>
    <w:rsid w:val="0083447E"/>
    <w:rsid w:val="00844A32"/>
    <w:rsid w:val="00863C22"/>
    <w:rsid w:val="008A2CC0"/>
    <w:rsid w:val="008C3F6F"/>
    <w:rsid w:val="008C4B3C"/>
    <w:rsid w:val="008F5783"/>
    <w:rsid w:val="00913B55"/>
    <w:rsid w:val="0093423C"/>
    <w:rsid w:val="00977787"/>
    <w:rsid w:val="009B6194"/>
    <w:rsid w:val="009D16A3"/>
    <w:rsid w:val="00A23093"/>
    <w:rsid w:val="00A40A9F"/>
    <w:rsid w:val="00A47D1F"/>
    <w:rsid w:val="00A861AB"/>
    <w:rsid w:val="00A871A3"/>
    <w:rsid w:val="00A871CD"/>
    <w:rsid w:val="00A91673"/>
    <w:rsid w:val="00AE1844"/>
    <w:rsid w:val="00B2145C"/>
    <w:rsid w:val="00B22AAB"/>
    <w:rsid w:val="00B237A0"/>
    <w:rsid w:val="00B23A4F"/>
    <w:rsid w:val="00B27748"/>
    <w:rsid w:val="00B30B65"/>
    <w:rsid w:val="00B4068D"/>
    <w:rsid w:val="00B43195"/>
    <w:rsid w:val="00B5557C"/>
    <w:rsid w:val="00B80BB2"/>
    <w:rsid w:val="00B95BE5"/>
    <w:rsid w:val="00BD1225"/>
    <w:rsid w:val="00BE3FF2"/>
    <w:rsid w:val="00BE502E"/>
    <w:rsid w:val="00C17C60"/>
    <w:rsid w:val="00C93910"/>
    <w:rsid w:val="00CB1941"/>
    <w:rsid w:val="00D15748"/>
    <w:rsid w:val="00D32190"/>
    <w:rsid w:val="00D6257C"/>
    <w:rsid w:val="00DB4A36"/>
    <w:rsid w:val="00DB6C6C"/>
    <w:rsid w:val="00DE160A"/>
    <w:rsid w:val="00DE71B3"/>
    <w:rsid w:val="00E0125D"/>
    <w:rsid w:val="00E14B63"/>
    <w:rsid w:val="00E33CFC"/>
    <w:rsid w:val="00E460B0"/>
    <w:rsid w:val="00E60DFD"/>
    <w:rsid w:val="00E63A48"/>
    <w:rsid w:val="00E656DF"/>
    <w:rsid w:val="00E77527"/>
    <w:rsid w:val="00EA25DE"/>
    <w:rsid w:val="00F05BB7"/>
    <w:rsid w:val="00F21F2A"/>
    <w:rsid w:val="00F30832"/>
    <w:rsid w:val="00FB4200"/>
    <w:rsid w:val="00FC6BB4"/>
    <w:rsid w:val="00FF23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81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72811"/>
    <w:pPr>
      <w:keepNext/>
      <w:jc w:val="center"/>
      <w:outlineLvl w:val="0"/>
    </w:pPr>
    <w:rPr>
      <w:sz w:val="28"/>
    </w:rPr>
  </w:style>
  <w:style w:type="paragraph" w:styleId="Heading2">
    <w:name w:val="heading 2"/>
    <w:basedOn w:val="Normal"/>
    <w:next w:val="Normal"/>
    <w:link w:val="Heading2Char"/>
    <w:semiHidden/>
    <w:unhideWhenUsed/>
    <w:qFormat/>
    <w:rsid w:val="00272811"/>
    <w:pPr>
      <w:keepNext/>
      <w:jc w:val="both"/>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2811"/>
    <w:rPr>
      <w:rFonts w:ascii="Times New Roman" w:eastAsia="Times New Roman" w:hAnsi="Times New Roman" w:cs="Times New Roman"/>
      <w:sz w:val="28"/>
      <w:szCs w:val="24"/>
    </w:rPr>
  </w:style>
  <w:style w:type="character" w:customStyle="1" w:styleId="Heading2Char">
    <w:name w:val="Heading 2 Char"/>
    <w:basedOn w:val="DefaultParagraphFont"/>
    <w:link w:val="Heading2"/>
    <w:semiHidden/>
    <w:rsid w:val="00272811"/>
    <w:rPr>
      <w:rFonts w:ascii="Times New Roman" w:eastAsia="Times New Roman" w:hAnsi="Times New Roman" w:cs="Times New Roman"/>
      <w:sz w:val="28"/>
      <w:szCs w:val="24"/>
    </w:rPr>
  </w:style>
  <w:style w:type="character" w:customStyle="1" w:styleId="Normal14ptChar">
    <w:name w:val="Normal + 14 pt Char"/>
    <w:aliases w:val="Bold Char"/>
    <w:link w:val="Normal14pt"/>
    <w:locked/>
    <w:rsid w:val="00272811"/>
    <w:rPr>
      <w:b/>
      <w:sz w:val="28"/>
      <w:szCs w:val="28"/>
    </w:rPr>
  </w:style>
  <w:style w:type="paragraph" w:customStyle="1" w:styleId="Normal14pt">
    <w:name w:val="Normal + 14 pt"/>
    <w:aliases w:val="Bold"/>
    <w:basedOn w:val="Normal"/>
    <w:link w:val="Normal14ptChar"/>
    <w:rsid w:val="00272811"/>
    <w:pPr>
      <w:jc w:val="center"/>
    </w:pPr>
    <w:rPr>
      <w:rFonts w:asciiTheme="minorHAnsi" w:eastAsiaTheme="minorHAnsi" w:hAnsiTheme="minorHAnsi" w:cstheme="minorBidi"/>
      <w:b/>
      <w:sz w:val="28"/>
      <w:szCs w:val="28"/>
    </w:rPr>
  </w:style>
  <w:style w:type="character" w:styleId="Hyperlink">
    <w:name w:val="Hyperlink"/>
    <w:basedOn w:val="DefaultParagraphFont"/>
    <w:uiPriority w:val="99"/>
    <w:unhideWhenUsed/>
    <w:rsid w:val="0045036C"/>
    <w:rPr>
      <w:color w:val="0000FF" w:themeColor="hyperlink"/>
      <w:u w:val="single"/>
    </w:rPr>
  </w:style>
  <w:style w:type="paragraph" w:styleId="ListParagraph">
    <w:name w:val="List Paragraph"/>
    <w:basedOn w:val="Normal"/>
    <w:uiPriority w:val="34"/>
    <w:qFormat/>
    <w:rsid w:val="00023654"/>
    <w:pPr>
      <w:ind w:left="720"/>
      <w:contextualSpacing/>
    </w:pPr>
  </w:style>
  <w:style w:type="table" w:styleId="TableGrid">
    <w:name w:val="Table Grid"/>
    <w:basedOn w:val="TableNormal"/>
    <w:uiPriority w:val="59"/>
    <w:rsid w:val="007E2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81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72811"/>
    <w:pPr>
      <w:keepNext/>
      <w:jc w:val="center"/>
      <w:outlineLvl w:val="0"/>
    </w:pPr>
    <w:rPr>
      <w:sz w:val="28"/>
    </w:rPr>
  </w:style>
  <w:style w:type="paragraph" w:styleId="Heading2">
    <w:name w:val="heading 2"/>
    <w:basedOn w:val="Normal"/>
    <w:next w:val="Normal"/>
    <w:link w:val="Heading2Char"/>
    <w:semiHidden/>
    <w:unhideWhenUsed/>
    <w:qFormat/>
    <w:rsid w:val="00272811"/>
    <w:pPr>
      <w:keepNext/>
      <w:jc w:val="both"/>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2811"/>
    <w:rPr>
      <w:rFonts w:ascii="Times New Roman" w:eastAsia="Times New Roman" w:hAnsi="Times New Roman" w:cs="Times New Roman"/>
      <w:sz w:val="28"/>
      <w:szCs w:val="24"/>
    </w:rPr>
  </w:style>
  <w:style w:type="character" w:customStyle="1" w:styleId="Heading2Char">
    <w:name w:val="Heading 2 Char"/>
    <w:basedOn w:val="DefaultParagraphFont"/>
    <w:link w:val="Heading2"/>
    <w:semiHidden/>
    <w:rsid w:val="00272811"/>
    <w:rPr>
      <w:rFonts w:ascii="Times New Roman" w:eastAsia="Times New Roman" w:hAnsi="Times New Roman" w:cs="Times New Roman"/>
      <w:sz w:val="28"/>
      <w:szCs w:val="24"/>
    </w:rPr>
  </w:style>
  <w:style w:type="character" w:customStyle="1" w:styleId="Normal14ptChar">
    <w:name w:val="Normal + 14 pt Char"/>
    <w:aliases w:val="Bold Char"/>
    <w:link w:val="Normal14pt"/>
    <w:locked/>
    <w:rsid w:val="00272811"/>
    <w:rPr>
      <w:b/>
      <w:sz w:val="28"/>
      <w:szCs w:val="28"/>
    </w:rPr>
  </w:style>
  <w:style w:type="paragraph" w:customStyle="1" w:styleId="Normal14pt">
    <w:name w:val="Normal + 14 pt"/>
    <w:aliases w:val="Bold"/>
    <w:basedOn w:val="Normal"/>
    <w:link w:val="Normal14ptChar"/>
    <w:rsid w:val="00272811"/>
    <w:pPr>
      <w:jc w:val="center"/>
    </w:pPr>
    <w:rPr>
      <w:rFonts w:asciiTheme="minorHAnsi" w:eastAsiaTheme="minorHAnsi" w:hAnsiTheme="minorHAnsi" w:cstheme="minorBidi"/>
      <w:b/>
      <w:sz w:val="28"/>
      <w:szCs w:val="28"/>
    </w:rPr>
  </w:style>
  <w:style w:type="character" w:styleId="Hyperlink">
    <w:name w:val="Hyperlink"/>
    <w:basedOn w:val="DefaultParagraphFont"/>
    <w:uiPriority w:val="99"/>
    <w:unhideWhenUsed/>
    <w:rsid w:val="0045036C"/>
    <w:rPr>
      <w:color w:val="0000FF" w:themeColor="hyperlink"/>
      <w:u w:val="single"/>
    </w:rPr>
  </w:style>
  <w:style w:type="paragraph" w:styleId="ListParagraph">
    <w:name w:val="List Paragraph"/>
    <w:basedOn w:val="Normal"/>
    <w:uiPriority w:val="34"/>
    <w:qFormat/>
    <w:rsid w:val="00023654"/>
    <w:pPr>
      <w:ind w:left="720"/>
      <w:contextualSpacing/>
    </w:pPr>
  </w:style>
  <w:style w:type="table" w:styleId="TableGrid">
    <w:name w:val="Table Grid"/>
    <w:basedOn w:val="TableNormal"/>
    <w:uiPriority w:val="59"/>
    <w:rsid w:val="007E2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57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3</Pages>
  <Words>3029</Words>
  <Characters>1728</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Rita Šteina</cp:lastModifiedBy>
  <cp:revision>67</cp:revision>
  <dcterms:created xsi:type="dcterms:W3CDTF">2015-03-19T13:27:00Z</dcterms:created>
  <dcterms:modified xsi:type="dcterms:W3CDTF">2017-11-14T13:45:00Z</dcterms:modified>
</cp:coreProperties>
</file>