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272811">
      <w:pPr>
        <w:jc w:val="center"/>
        <w:rPr>
          <w:b/>
        </w:rPr>
      </w:pPr>
      <w:r>
        <w:rPr>
          <w:b/>
        </w:rPr>
        <w:t>Ādažu novada domes</w:t>
      </w:r>
    </w:p>
    <w:p w:rsidR="00272811" w:rsidRDefault="00272811" w:rsidP="00272811">
      <w:pPr>
        <w:jc w:val="center"/>
        <w:rPr>
          <w:b/>
        </w:rPr>
      </w:pPr>
      <w:r>
        <w:rPr>
          <w:b/>
        </w:rPr>
        <w:t>iepirkuma</w:t>
      </w:r>
    </w:p>
    <w:p w:rsidR="00272811" w:rsidRDefault="00272811" w:rsidP="00272811">
      <w:pPr>
        <w:jc w:val="center"/>
        <w:rPr>
          <w:b/>
          <w:sz w:val="8"/>
          <w:szCs w:val="8"/>
        </w:rPr>
      </w:pPr>
    </w:p>
    <w:p w:rsidR="00272811" w:rsidRDefault="00272811" w:rsidP="00D83A65">
      <w:pPr>
        <w:shd w:val="clear" w:color="auto" w:fill="D6E3BC" w:themeFill="accent3" w:themeFillTint="66"/>
        <w:jc w:val="center"/>
        <w:rPr>
          <w:b/>
          <w:sz w:val="28"/>
          <w:szCs w:val="28"/>
        </w:rPr>
      </w:pPr>
      <w:r>
        <w:rPr>
          <w:b/>
          <w:sz w:val="28"/>
          <w:szCs w:val="28"/>
        </w:rPr>
        <w:t>„</w:t>
      </w:r>
      <w:r w:rsidR="009808C8">
        <w:rPr>
          <w:rStyle w:val="Heading1Char"/>
          <w:b/>
        </w:rPr>
        <w:t>Skolas būvdarbi Ādažos</w:t>
      </w:r>
      <w:r>
        <w:rPr>
          <w:b/>
          <w:sz w:val="28"/>
          <w:szCs w:val="28"/>
        </w:rPr>
        <w:t>”</w:t>
      </w:r>
    </w:p>
    <w:p w:rsidR="00272811" w:rsidRDefault="005913ED" w:rsidP="00272811">
      <w:pPr>
        <w:jc w:val="center"/>
        <w:rPr>
          <w:b/>
          <w:sz w:val="28"/>
          <w:szCs w:val="28"/>
        </w:rPr>
      </w:pPr>
      <w:r>
        <w:rPr>
          <w:b/>
          <w:sz w:val="28"/>
          <w:szCs w:val="28"/>
        </w:rPr>
        <w:t>(ID.Nr. ĀND 201</w:t>
      </w:r>
      <w:r w:rsidR="009808C8">
        <w:rPr>
          <w:b/>
          <w:sz w:val="28"/>
          <w:szCs w:val="28"/>
        </w:rPr>
        <w:t>7</w:t>
      </w:r>
      <w:r>
        <w:rPr>
          <w:b/>
          <w:sz w:val="28"/>
          <w:szCs w:val="28"/>
        </w:rPr>
        <w:t>/9</w:t>
      </w:r>
      <w:r w:rsidR="009808C8">
        <w:rPr>
          <w:b/>
          <w:sz w:val="28"/>
          <w:szCs w:val="28"/>
        </w:rPr>
        <w:t>2</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5913ED">
        <w:rPr>
          <w:b/>
        </w:rPr>
        <w:t xml:space="preserve"> Nr.05-30-201</w:t>
      </w:r>
      <w:r w:rsidR="009808C8">
        <w:rPr>
          <w:b/>
        </w:rPr>
        <w:t>7</w:t>
      </w:r>
      <w:r w:rsidR="005913ED">
        <w:rPr>
          <w:b/>
        </w:rPr>
        <w:t>/9</w:t>
      </w:r>
      <w:r w:rsidR="009808C8">
        <w:rPr>
          <w:b/>
        </w:rPr>
        <w:t>2</w:t>
      </w:r>
      <w:r w:rsidR="006B2C5B">
        <w:rPr>
          <w:b/>
        </w:rPr>
        <w:t>-</w:t>
      </w:r>
      <w:r w:rsidR="00C6532F">
        <w:rPr>
          <w:b/>
        </w:rPr>
        <w:t>2</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6208C5" w:rsidP="00C6532F">
            <w:pPr>
              <w:jc w:val="right"/>
            </w:pPr>
            <w:r>
              <w:rPr>
                <w:b/>
              </w:rPr>
              <w:t>201</w:t>
            </w:r>
            <w:r w:rsidR="009808C8">
              <w:rPr>
                <w:b/>
              </w:rPr>
              <w:t>7.</w:t>
            </w:r>
            <w:r w:rsidR="002716BB">
              <w:rPr>
                <w:b/>
              </w:rPr>
              <w:t xml:space="preserve">gada </w:t>
            </w:r>
            <w:r w:rsidR="00C6532F">
              <w:rPr>
                <w:b/>
              </w:rPr>
              <w:t>4.augustā</w:t>
            </w:r>
          </w:p>
        </w:tc>
      </w:tr>
    </w:tbl>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w:t>
      </w:r>
      <w:r w:rsidR="009808C8">
        <w:rPr>
          <w:sz w:val="24"/>
        </w:rPr>
        <w:t>a vietniece</w:t>
      </w:r>
      <w:r>
        <w:rPr>
          <w:sz w:val="24"/>
        </w:rPr>
        <w:t xml:space="preserve"> atklāj sēdi</w:t>
      </w:r>
      <w:r w:rsidR="00F30832">
        <w:rPr>
          <w:sz w:val="24"/>
        </w:rPr>
        <w:t xml:space="preserve"> plkst. 1</w:t>
      </w:r>
      <w:r w:rsidR="00300566">
        <w:rPr>
          <w:sz w:val="24"/>
        </w:rPr>
        <w:t>2</w:t>
      </w:r>
      <w:r>
        <w:rPr>
          <w:sz w:val="24"/>
        </w:rPr>
        <w:t>.00.</w:t>
      </w:r>
    </w:p>
    <w:p w:rsidR="00E4167E" w:rsidRPr="00E4167E" w:rsidRDefault="00E4167E" w:rsidP="00E4167E"/>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E656DF" w:rsidTr="00272811">
        <w:tc>
          <w:tcPr>
            <w:tcW w:w="3060" w:type="dxa"/>
          </w:tcPr>
          <w:p w:rsidR="009808C8" w:rsidRDefault="00E656DF" w:rsidP="00E656DF">
            <w:pPr>
              <w:ind w:left="72" w:right="-694"/>
              <w:jc w:val="both"/>
            </w:pPr>
            <w:r>
              <w:t>Komisijas priekšsēdētāj</w:t>
            </w:r>
            <w:r w:rsidR="009808C8">
              <w:t xml:space="preserve">a </w:t>
            </w:r>
          </w:p>
          <w:p w:rsidR="00E656DF" w:rsidRDefault="009808C8" w:rsidP="00E656DF">
            <w:pPr>
              <w:ind w:left="72" w:right="-694"/>
              <w:jc w:val="both"/>
            </w:pPr>
            <w:r>
              <w:t>vietniece</w:t>
            </w:r>
            <w:r w:rsidR="00E656DF">
              <w:t xml:space="preserve">: </w:t>
            </w:r>
          </w:p>
          <w:p w:rsidR="00E656DF" w:rsidRDefault="00E656DF" w:rsidP="00E656DF">
            <w:pPr>
              <w:ind w:left="72" w:right="-694"/>
              <w:jc w:val="both"/>
            </w:pPr>
            <w:r>
              <w:t>Komisijas locekļi:</w:t>
            </w:r>
          </w:p>
          <w:p w:rsidR="00E656DF" w:rsidRDefault="00E656DF" w:rsidP="00E656DF">
            <w:pPr>
              <w:ind w:left="72" w:right="-694"/>
              <w:jc w:val="both"/>
            </w:pPr>
          </w:p>
          <w:p w:rsidR="00E656DF" w:rsidRDefault="00E656DF" w:rsidP="00E656DF">
            <w:pPr>
              <w:ind w:left="72" w:right="-694"/>
              <w:jc w:val="both"/>
            </w:pPr>
          </w:p>
        </w:tc>
        <w:tc>
          <w:tcPr>
            <w:tcW w:w="4680" w:type="dxa"/>
            <w:hideMark/>
          </w:tcPr>
          <w:p w:rsidR="009808C8" w:rsidRDefault="009808C8" w:rsidP="00E656DF">
            <w:pPr>
              <w:ind w:right="-694"/>
              <w:jc w:val="both"/>
            </w:pPr>
          </w:p>
          <w:p w:rsidR="00E656DF" w:rsidRDefault="00E656DF" w:rsidP="00E656DF">
            <w:pPr>
              <w:jc w:val="both"/>
            </w:pPr>
            <w:r>
              <w:t>Rita Šteina</w:t>
            </w:r>
          </w:p>
          <w:p w:rsidR="005913ED" w:rsidRDefault="005913ED" w:rsidP="00E656DF">
            <w:pPr>
              <w:jc w:val="both"/>
            </w:pPr>
            <w:r>
              <w:t>Everita Kāpa</w:t>
            </w:r>
          </w:p>
          <w:p w:rsidR="00E656DF" w:rsidRDefault="00E656DF" w:rsidP="00E656DF">
            <w:pPr>
              <w:jc w:val="both"/>
            </w:pPr>
            <w:r>
              <w:t>Halfors Krasts</w:t>
            </w:r>
          </w:p>
          <w:p w:rsidR="00E656DF" w:rsidRDefault="00E656DF" w:rsidP="00E656DF">
            <w:pPr>
              <w:jc w:val="both"/>
            </w:pPr>
            <w:r>
              <w:t>Uģis Dambis</w:t>
            </w:r>
          </w:p>
          <w:p w:rsidR="00E656DF" w:rsidRDefault="00E656DF" w:rsidP="00E656DF">
            <w:pPr>
              <w:jc w:val="both"/>
            </w:pPr>
            <w:r>
              <w:t>Valērijs Bulāns</w:t>
            </w:r>
          </w:p>
          <w:p w:rsidR="00E4167E" w:rsidRDefault="00E4167E" w:rsidP="00E656DF">
            <w:pPr>
              <w:jc w:val="both"/>
            </w:pPr>
          </w:p>
        </w:tc>
      </w:tr>
    </w:tbl>
    <w:p w:rsidR="00272811" w:rsidRDefault="00272811" w:rsidP="00272811">
      <w:pPr>
        <w:rPr>
          <w:b/>
        </w:rPr>
      </w:pPr>
      <w:r>
        <w:rPr>
          <w:b/>
        </w:rPr>
        <w:t xml:space="preserve">Komisijas izveides pamats: </w:t>
      </w:r>
    </w:p>
    <w:p w:rsidR="00F30832" w:rsidRDefault="00F30832" w:rsidP="00F30832">
      <w:pPr>
        <w:ind w:left="709" w:right="26"/>
        <w:jc w:val="both"/>
      </w:pPr>
      <w:r>
        <w:t xml:space="preserve">Ādažu novada domes 2013.gada 24.septembra </w:t>
      </w:r>
      <w:smartTag w:uri="schemas-tilde-lv/tildestengine" w:element="veidnes">
        <w:smartTagPr>
          <w:attr w:name="id" w:val="-1"/>
          <w:attr w:name="baseform" w:val="lēmums"/>
          <w:attr w:name="text" w:val="lēmums"/>
        </w:smartTagPr>
        <w:r>
          <w:t>lēmums</w:t>
        </w:r>
      </w:smartTag>
      <w:r>
        <w:t xml:space="preserve"> Nr. 215. un Ādažu novada domes 2014.gada 28.jūlija ārkārtas domes sēdes lēmums Nr. 17§ 2.</w:t>
      </w:r>
    </w:p>
    <w:p w:rsidR="00E4167E" w:rsidRDefault="00E4167E" w:rsidP="00F30832">
      <w:pPr>
        <w:ind w:left="709" w:right="26"/>
        <w:jc w:val="both"/>
        <w:rPr>
          <w:color w:val="FF0000"/>
        </w:rPr>
      </w:pPr>
    </w:p>
    <w:p w:rsidR="00272811" w:rsidRDefault="00272811" w:rsidP="00272811">
      <w:pPr>
        <w:jc w:val="both"/>
      </w:pPr>
      <w:r>
        <w:rPr>
          <w:b/>
          <w:bCs/>
        </w:rPr>
        <w:t>Darba kārtībā:</w:t>
      </w:r>
    </w:p>
    <w:p w:rsidR="00272811" w:rsidRDefault="00C6532F" w:rsidP="00272811">
      <w:pPr>
        <w:tabs>
          <w:tab w:val="left" w:pos="993"/>
        </w:tabs>
        <w:ind w:left="709"/>
        <w:jc w:val="both"/>
      </w:pPr>
      <w:r>
        <w:t>Skaidrojumu sniegšana par iepirkuma</w:t>
      </w:r>
      <w:r w:rsidR="00272811">
        <w:t xml:space="preserve"> </w:t>
      </w:r>
      <w:r w:rsidR="00272811" w:rsidRPr="00E77527">
        <w:t>„</w:t>
      </w:r>
      <w:r w:rsidR="00F467C2">
        <w:rPr>
          <w:rStyle w:val="Heading1Char"/>
          <w:sz w:val="24"/>
        </w:rPr>
        <w:t>Skolas būvdarbi Ādažos</w:t>
      </w:r>
      <w:r w:rsidR="006B68BA" w:rsidRPr="00E77527">
        <w:t>”</w:t>
      </w:r>
      <w:r w:rsidR="00E77527">
        <w:t xml:space="preserve"> </w:t>
      </w:r>
      <w:r w:rsidR="006208C5">
        <w:t>(ID.Nr.: ĀND 201</w:t>
      </w:r>
      <w:r w:rsidR="00F467C2">
        <w:t>7</w:t>
      </w:r>
      <w:r w:rsidR="006B68BA">
        <w:t>/</w:t>
      </w:r>
      <w:r w:rsidR="00097C01">
        <w:t>9</w:t>
      </w:r>
      <w:r w:rsidR="00F467C2">
        <w:t>2</w:t>
      </w:r>
      <w:r w:rsidR="00272811">
        <w:t xml:space="preserve">) </w:t>
      </w:r>
      <w:r>
        <w:t>kandidātu atlases nolikumu</w:t>
      </w:r>
      <w:r w:rsidR="00272811">
        <w:t>.</w:t>
      </w:r>
    </w:p>
    <w:p w:rsidR="00E4167E" w:rsidRDefault="00E4167E" w:rsidP="00272811">
      <w:pPr>
        <w:tabs>
          <w:tab w:val="left" w:pos="993"/>
        </w:tabs>
        <w:ind w:left="709"/>
        <w:jc w:val="both"/>
      </w:pPr>
      <w:bookmarkStart w:id="0" w:name="_GoBack"/>
      <w:bookmarkEnd w:id="0"/>
    </w:p>
    <w:p w:rsidR="00272811" w:rsidRDefault="00272811" w:rsidP="00272811">
      <w:pPr>
        <w:jc w:val="both"/>
        <w:rPr>
          <w:b/>
        </w:rPr>
      </w:pPr>
      <w:r>
        <w:rPr>
          <w:b/>
        </w:rPr>
        <w:t>Darba gaita:</w:t>
      </w:r>
    </w:p>
    <w:p w:rsidR="00C6532F" w:rsidRDefault="00E33CFC" w:rsidP="00023654">
      <w:pPr>
        <w:pStyle w:val="ListParagraph"/>
        <w:numPr>
          <w:ilvl w:val="0"/>
          <w:numId w:val="3"/>
        </w:numPr>
        <w:ind w:left="709" w:hanging="709"/>
        <w:jc w:val="both"/>
      </w:pPr>
      <w:r>
        <w:t>R. Šteina</w:t>
      </w:r>
      <w:r w:rsidR="00272811">
        <w:t xml:space="preserve"> </w:t>
      </w:r>
      <w:r w:rsidR="00C6532F">
        <w:t xml:space="preserve">ziņo par ieinteresētā </w:t>
      </w:r>
      <w:r w:rsidR="00300566">
        <w:t>kandidāta</w:t>
      </w:r>
      <w:r w:rsidR="00C6532F">
        <w:t xml:space="preserve"> uzdotajiem jautājumiem par iepirkuma </w:t>
      </w:r>
      <w:r w:rsidR="00C6532F" w:rsidRPr="00E77527">
        <w:t>„</w:t>
      </w:r>
      <w:r w:rsidR="00C6532F">
        <w:rPr>
          <w:rStyle w:val="Heading1Char"/>
          <w:sz w:val="24"/>
        </w:rPr>
        <w:t>Skolas būvdarbi Ādažos</w:t>
      </w:r>
      <w:r w:rsidR="00C6532F" w:rsidRPr="00E77527">
        <w:t>”</w:t>
      </w:r>
      <w:r w:rsidR="00C6532F">
        <w:t xml:space="preserve"> (ID.Nr.: ĀND 2017/92) kandidātu atlases nolikumu</w:t>
      </w:r>
      <w:r w:rsidR="00C6532F">
        <w:t>.</w:t>
      </w:r>
    </w:p>
    <w:tbl>
      <w:tblPr>
        <w:tblStyle w:val="TableGrid"/>
        <w:tblW w:w="9498" w:type="dxa"/>
        <w:jc w:val="center"/>
        <w:tblInd w:w="-743" w:type="dxa"/>
        <w:tblLook w:val="04A0" w:firstRow="1" w:lastRow="0" w:firstColumn="1" w:lastColumn="0" w:noHBand="0" w:noVBand="1"/>
      </w:tblPr>
      <w:tblGrid>
        <w:gridCol w:w="567"/>
        <w:gridCol w:w="8931"/>
      </w:tblGrid>
      <w:tr w:rsidR="00D83A65" w:rsidTr="00E4167E">
        <w:trPr>
          <w:jc w:val="center"/>
        </w:trPr>
        <w:tc>
          <w:tcPr>
            <w:tcW w:w="567" w:type="dxa"/>
            <w:shd w:val="clear" w:color="auto" w:fill="D6E3BC" w:themeFill="accent3" w:themeFillTint="66"/>
          </w:tcPr>
          <w:p w:rsidR="00D83A65" w:rsidRDefault="00D83A65" w:rsidP="00A26001">
            <w:pPr>
              <w:pStyle w:val="ListParagraph"/>
              <w:ind w:left="0"/>
              <w:jc w:val="both"/>
            </w:pPr>
          </w:p>
        </w:tc>
        <w:tc>
          <w:tcPr>
            <w:tcW w:w="8931" w:type="dxa"/>
            <w:shd w:val="clear" w:color="auto" w:fill="D6E3BC" w:themeFill="accent3" w:themeFillTint="66"/>
          </w:tcPr>
          <w:p w:rsidR="00D83A65" w:rsidRPr="00D83A65" w:rsidRDefault="00D83A65" w:rsidP="00A26001">
            <w:pPr>
              <w:pStyle w:val="ListParagraph"/>
              <w:ind w:left="0"/>
              <w:jc w:val="both"/>
              <w:rPr>
                <w:b/>
              </w:rPr>
            </w:pPr>
            <w:r w:rsidRPr="00D83A65">
              <w:rPr>
                <w:b/>
              </w:rPr>
              <w:t>Jautājumi:</w:t>
            </w:r>
          </w:p>
        </w:tc>
      </w:tr>
      <w:tr w:rsidR="00D83A65" w:rsidTr="00E4167E">
        <w:trPr>
          <w:jc w:val="center"/>
        </w:trPr>
        <w:tc>
          <w:tcPr>
            <w:tcW w:w="567" w:type="dxa"/>
          </w:tcPr>
          <w:p w:rsidR="00D83A65" w:rsidRDefault="00D83A65" w:rsidP="00D83A65">
            <w:pPr>
              <w:pStyle w:val="ListParagraph"/>
              <w:numPr>
                <w:ilvl w:val="0"/>
                <w:numId w:val="4"/>
              </w:numPr>
              <w:ind w:left="176" w:hanging="176"/>
              <w:jc w:val="both"/>
            </w:pPr>
          </w:p>
        </w:tc>
        <w:tc>
          <w:tcPr>
            <w:tcW w:w="8931" w:type="dxa"/>
          </w:tcPr>
          <w:p w:rsidR="00D83A65" w:rsidRDefault="00D83A65" w:rsidP="00D83A65">
            <w:pPr>
              <w:pStyle w:val="ListParagraph"/>
              <w:ind w:left="0"/>
              <w:jc w:val="both"/>
            </w:pPr>
            <w:r>
              <w:rPr>
                <w:noProof/>
                <w:lang w:eastAsia="lv-LV"/>
              </w:rPr>
              <w:drawing>
                <wp:inline distT="0" distB="0" distL="0" distR="0" wp14:anchorId="56B980FE" wp14:editId="25967102">
                  <wp:extent cx="52673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447800"/>
                          </a:xfrm>
                          <a:prstGeom prst="rect">
                            <a:avLst/>
                          </a:prstGeom>
                          <a:noFill/>
                          <a:ln>
                            <a:noFill/>
                          </a:ln>
                        </pic:spPr>
                      </pic:pic>
                    </a:graphicData>
                  </a:graphic>
                </wp:inline>
              </w:drawing>
            </w:r>
          </w:p>
        </w:tc>
      </w:tr>
      <w:tr w:rsidR="00D83A65" w:rsidTr="00E4167E">
        <w:trPr>
          <w:jc w:val="center"/>
        </w:trPr>
        <w:tc>
          <w:tcPr>
            <w:tcW w:w="567" w:type="dxa"/>
          </w:tcPr>
          <w:p w:rsidR="00D83A65" w:rsidRDefault="00D83A65" w:rsidP="00D83A65">
            <w:pPr>
              <w:pStyle w:val="ListParagraph"/>
              <w:numPr>
                <w:ilvl w:val="0"/>
                <w:numId w:val="4"/>
              </w:numPr>
              <w:ind w:left="176" w:firstLine="0"/>
              <w:jc w:val="both"/>
            </w:pPr>
          </w:p>
        </w:tc>
        <w:tc>
          <w:tcPr>
            <w:tcW w:w="8931" w:type="dxa"/>
          </w:tcPr>
          <w:p w:rsidR="0016663C" w:rsidRDefault="0016663C" w:rsidP="00D83A65">
            <w:pPr>
              <w:pStyle w:val="ListParagraph"/>
              <w:ind w:left="0"/>
              <w:jc w:val="both"/>
            </w:pPr>
            <w:r>
              <w:rPr>
                <w:noProof/>
                <w:lang w:eastAsia="lv-LV"/>
              </w:rPr>
              <w:drawing>
                <wp:inline distT="0" distB="0" distL="0" distR="0" wp14:anchorId="177A2050" wp14:editId="43365496">
                  <wp:extent cx="52673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42925"/>
                          </a:xfrm>
                          <a:prstGeom prst="rect">
                            <a:avLst/>
                          </a:prstGeom>
                          <a:noFill/>
                          <a:ln>
                            <a:noFill/>
                          </a:ln>
                        </pic:spPr>
                      </pic:pic>
                    </a:graphicData>
                  </a:graphic>
                </wp:inline>
              </w:drawing>
            </w:r>
          </w:p>
        </w:tc>
      </w:tr>
      <w:tr w:rsidR="00D83A65" w:rsidTr="00E4167E">
        <w:trPr>
          <w:jc w:val="center"/>
        </w:trPr>
        <w:tc>
          <w:tcPr>
            <w:tcW w:w="567" w:type="dxa"/>
          </w:tcPr>
          <w:p w:rsidR="00D83A65" w:rsidRDefault="00D83A65" w:rsidP="00D83A65">
            <w:pPr>
              <w:pStyle w:val="ListParagraph"/>
              <w:numPr>
                <w:ilvl w:val="0"/>
                <w:numId w:val="4"/>
              </w:numPr>
              <w:ind w:hanging="544"/>
              <w:jc w:val="both"/>
            </w:pPr>
          </w:p>
        </w:tc>
        <w:tc>
          <w:tcPr>
            <w:tcW w:w="8931" w:type="dxa"/>
          </w:tcPr>
          <w:p w:rsidR="0016663C" w:rsidRDefault="0016663C" w:rsidP="00D83A65">
            <w:pPr>
              <w:pStyle w:val="ListParagraph"/>
              <w:ind w:left="0"/>
              <w:jc w:val="both"/>
            </w:pPr>
            <w:r>
              <w:rPr>
                <w:noProof/>
                <w:lang w:eastAsia="lv-LV"/>
              </w:rPr>
              <w:drawing>
                <wp:inline distT="0" distB="0" distL="0" distR="0" wp14:anchorId="1657C8D3" wp14:editId="40C00152">
                  <wp:extent cx="52673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inline>
              </w:drawing>
            </w:r>
          </w:p>
        </w:tc>
      </w:tr>
    </w:tbl>
    <w:p w:rsidR="00023654" w:rsidRDefault="0016663C" w:rsidP="0016663C">
      <w:pPr>
        <w:pStyle w:val="ListParagraph"/>
        <w:numPr>
          <w:ilvl w:val="0"/>
          <w:numId w:val="3"/>
        </w:numPr>
        <w:ind w:left="709" w:hanging="709"/>
        <w:jc w:val="both"/>
      </w:pPr>
      <w:r>
        <w:t>Komisija lemj par sniedzamajām atbildēm</w:t>
      </w:r>
      <w:r w:rsidR="00272811">
        <w:t>.</w:t>
      </w:r>
      <w:r w:rsidR="00023654">
        <w:t xml:space="preserve"> </w:t>
      </w:r>
    </w:p>
    <w:p w:rsidR="0016663C" w:rsidRDefault="0016663C" w:rsidP="0016663C">
      <w:pPr>
        <w:pStyle w:val="ListParagraph"/>
        <w:numPr>
          <w:ilvl w:val="0"/>
          <w:numId w:val="3"/>
        </w:numPr>
        <w:ind w:left="709" w:hanging="709"/>
        <w:jc w:val="both"/>
      </w:pPr>
      <w:r>
        <w:t>Komisija lemj sniegt šādas atbildes:</w:t>
      </w:r>
    </w:p>
    <w:tbl>
      <w:tblPr>
        <w:tblStyle w:val="TableGrid"/>
        <w:tblW w:w="0" w:type="auto"/>
        <w:tblInd w:w="-601" w:type="dxa"/>
        <w:tblLook w:val="04A0" w:firstRow="1" w:lastRow="0" w:firstColumn="1" w:lastColumn="0" w:noHBand="0" w:noVBand="1"/>
      </w:tblPr>
      <w:tblGrid>
        <w:gridCol w:w="709"/>
        <w:gridCol w:w="8414"/>
      </w:tblGrid>
      <w:tr w:rsidR="00A4128B" w:rsidTr="00426D74">
        <w:tc>
          <w:tcPr>
            <w:tcW w:w="709" w:type="dxa"/>
            <w:shd w:val="clear" w:color="auto" w:fill="D6E3BC" w:themeFill="accent3" w:themeFillTint="66"/>
          </w:tcPr>
          <w:p w:rsidR="00A4128B" w:rsidRDefault="00A4128B" w:rsidP="00A26001">
            <w:pPr>
              <w:pStyle w:val="ListParagraph"/>
              <w:ind w:left="0"/>
              <w:jc w:val="both"/>
            </w:pPr>
          </w:p>
        </w:tc>
        <w:tc>
          <w:tcPr>
            <w:tcW w:w="8414" w:type="dxa"/>
            <w:shd w:val="clear" w:color="auto" w:fill="D6E3BC" w:themeFill="accent3" w:themeFillTint="66"/>
          </w:tcPr>
          <w:p w:rsidR="00A4128B" w:rsidRPr="00A4128B" w:rsidRDefault="00A4128B" w:rsidP="00A26001">
            <w:pPr>
              <w:pStyle w:val="ListParagraph"/>
              <w:ind w:left="0"/>
              <w:jc w:val="both"/>
              <w:rPr>
                <w:b/>
              </w:rPr>
            </w:pPr>
            <w:r w:rsidRPr="00A4128B">
              <w:rPr>
                <w:b/>
              </w:rPr>
              <w:t>Atbildes:</w:t>
            </w:r>
          </w:p>
        </w:tc>
      </w:tr>
      <w:tr w:rsidR="00A4128B" w:rsidTr="00426D74">
        <w:tc>
          <w:tcPr>
            <w:tcW w:w="709" w:type="dxa"/>
          </w:tcPr>
          <w:p w:rsidR="00A4128B" w:rsidRDefault="00A4128B" w:rsidP="00A4128B">
            <w:pPr>
              <w:pStyle w:val="ListParagraph"/>
              <w:numPr>
                <w:ilvl w:val="0"/>
                <w:numId w:val="5"/>
              </w:numPr>
              <w:jc w:val="both"/>
            </w:pPr>
          </w:p>
        </w:tc>
        <w:tc>
          <w:tcPr>
            <w:tcW w:w="8414" w:type="dxa"/>
          </w:tcPr>
          <w:p w:rsidR="00A4128B" w:rsidRDefault="00004AA5" w:rsidP="00E44EB7">
            <w:pPr>
              <w:pStyle w:val="ListParagraph"/>
              <w:ind w:left="0"/>
              <w:jc w:val="both"/>
            </w:pPr>
            <w:r>
              <w:t xml:space="preserve">Nolikuma 9.3.punkta norma ir skaidra un vienlīdzīgi attiecināma uz visiem </w:t>
            </w:r>
            <w:r w:rsidR="00E44EB7">
              <w:t>kandidātiem</w:t>
            </w:r>
            <w:r>
              <w:t xml:space="preserve"> neatkarīgi no finanšu pārskata apjoma. </w:t>
            </w:r>
            <w:r w:rsidR="00B70B31">
              <w:t>Tostarp ir noteikts, ka finanšu pārskats var tikt neiesniegts tikai situācijā, kad pieteikuma</w:t>
            </w:r>
            <w:r w:rsidR="00B70B31" w:rsidRPr="00F138E9">
              <w:t xml:space="preserve"> iesniegšanas brīdī par 2016.gadu kandidātam atbilstoši normatīvajos aktos noteiktajam vēl nav</w:t>
            </w:r>
            <w:r w:rsidR="00B70B31">
              <w:t xml:space="preserve"> </w:t>
            </w:r>
            <w:r w:rsidR="00B70B31" w:rsidRPr="00F138E9">
              <w:t>sagatavots gada pārskats</w:t>
            </w:r>
            <w:r w:rsidR="00B70B31">
              <w:t xml:space="preserve"> – šādā situācijā var tikt iesniegta</w:t>
            </w:r>
            <w:r w:rsidR="00B70B31" w:rsidRPr="00F138E9">
              <w:t xml:space="preserve"> operatīvā bilance</w:t>
            </w:r>
            <w:r w:rsidR="00B70B31">
              <w:t>.</w:t>
            </w:r>
          </w:p>
        </w:tc>
      </w:tr>
      <w:tr w:rsidR="00A4128B" w:rsidTr="00426D74">
        <w:tc>
          <w:tcPr>
            <w:tcW w:w="709" w:type="dxa"/>
          </w:tcPr>
          <w:p w:rsidR="00A4128B" w:rsidRDefault="00A4128B" w:rsidP="00A4128B">
            <w:pPr>
              <w:pStyle w:val="ListParagraph"/>
              <w:numPr>
                <w:ilvl w:val="0"/>
                <w:numId w:val="5"/>
              </w:numPr>
              <w:jc w:val="both"/>
            </w:pPr>
          </w:p>
        </w:tc>
        <w:tc>
          <w:tcPr>
            <w:tcW w:w="8414" w:type="dxa"/>
          </w:tcPr>
          <w:p w:rsidR="00A4128B" w:rsidRDefault="00BB37C8" w:rsidP="00941016">
            <w:pPr>
              <w:pStyle w:val="ListParagraph"/>
              <w:ind w:left="0"/>
              <w:jc w:val="both"/>
            </w:pPr>
            <w:r>
              <w:t xml:space="preserve">Nolikuma 8.9.līdz 8.16.punktu ietvaros katra punkta izpildei var tikt piedāvāts </w:t>
            </w:r>
            <w:r w:rsidR="00DC3215">
              <w:t>viens</w:t>
            </w:r>
            <w:r>
              <w:t xml:space="preserve"> speciālists </w:t>
            </w:r>
            <w:proofErr w:type="gramStart"/>
            <w:r>
              <w:t>(</w:t>
            </w:r>
            <w:proofErr w:type="gramEnd"/>
            <w:r>
              <w:t xml:space="preserve">kopumā maksimālais iespējamais speciālistu skaits – 8 (astoņi speciālisti). </w:t>
            </w:r>
            <w:r w:rsidR="00DC3215">
              <w:t xml:space="preserve">Var veidoties situācijas, kad viena persona vienlaikus var tikt nominēta vairākām speciālistu pozīcijām (ja tās kvalifikācija vienlaikus atbilst </w:t>
            </w:r>
            <w:r w:rsidR="00941016">
              <w:t>šiem</w:t>
            </w:r>
            <w:r w:rsidR="00DC3215">
              <w:t xml:space="preserve"> speciālistiem izvirzītajām prasībām), bet šādā gadījumā racionāli izvērtējama šā</w:t>
            </w:r>
            <w:r w:rsidR="00941016">
              <w:t>da speciālista noslodze un spēja</w:t>
            </w:r>
            <w:r w:rsidR="00DC3215">
              <w:t xml:space="preserve"> kvalitatīvi pildīt vairāku speciālistu </w:t>
            </w:r>
            <w:r w:rsidR="00941016">
              <w:t>pienākumus</w:t>
            </w:r>
            <w:r w:rsidR="00DC3215">
              <w:t>.</w:t>
            </w:r>
          </w:p>
        </w:tc>
      </w:tr>
      <w:tr w:rsidR="00A4128B" w:rsidTr="00426D74">
        <w:tc>
          <w:tcPr>
            <w:tcW w:w="709" w:type="dxa"/>
          </w:tcPr>
          <w:p w:rsidR="00A4128B" w:rsidRDefault="00A4128B" w:rsidP="00A4128B">
            <w:pPr>
              <w:pStyle w:val="ListParagraph"/>
              <w:numPr>
                <w:ilvl w:val="0"/>
                <w:numId w:val="5"/>
              </w:numPr>
              <w:jc w:val="both"/>
            </w:pPr>
          </w:p>
        </w:tc>
        <w:tc>
          <w:tcPr>
            <w:tcW w:w="8414" w:type="dxa"/>
          </w:tcPr>
          <w:p w:rsidR="00A4128B" w:rsidRDefault="002B6414" w:rsidP="004C7FE0">
            <w:pPr>
              <w:pStyle w:val="ListParagraph"/>
              <w:ind w:left="0"/>
              <w:jc w:val="both"/>
            </w:pPr>
            <w:r>
              <w:t>Komisijas ieskatā nav nekādu šķēršļu 9.19.punkta prasības izpildei situācijā, ja k</w:t>
            </w:r>
            <w:r w:rsidRPr="00F138E9">
              <w:t xml:space="preserve">andidāts </w:t>
            </w:r>
            <w:r>
              <w:t>balstās</w:t>
            </w:r>
            <w:r w:rsidRPr="00F138E9">
              <w:t xml:space="preserve"> uz citu personu iespējām, lai izpildītu prasības attiecībā uz tehniskām un profesionālām spējām</w:t>
            </w:r>
            <w:r>
              <w:t xml:space="preserve"> (8.19.punkts). Jebkurā gadījumā situācijā, kad </w:t>
            </w:r>
            <w:r w:rsidR="003F47A8">
              <w:t>kandidāts</w:t>
            </w:r>
            <w:r>
              <w:t xml:space="preserve"> balstās </w:t>
            </w:r>
            <w:r w:rsidRPr="00F138E9">
              <w:t>uz citu personu iespējām, lai izpildītu prasības attiecībā uz tehniskām un profesionālām spējām</w:t>
            </w:r>
            <w:r w:rsidR="004C7FE0">
              <w:t xml:space="preserve">, pasūtītājam no kandidāta pieteikumā iekļautās informācijas ir jāspēj secināt </w:t>
            </w:r>
            <w:r w:rsidR="007D2CEA">
              <w:t xml:space="preserve">piesaistītās personas </w:t>
            </w:r>
            <w:r w:rsidR="006A579F">
              <w:t>loma līguma izpildē Publisko iepirkumu likuma 46.panta ceturtās daļas kontekstā.</w:t>
            </w:r>
          </w:p>
          <w:p w:rsidR="006A579F" w:rsidRDefault="006A579F" w:rsidP="004C7FE0">
            <w:pPr>
              <w:pStyle w:val="ListParagraph"/>
              <w:ind w:left="0"/>
              <w:jc w:val="both"/>
            </w:pPr>
          </w:p>
          <w:p w:rsidR="00BE20F1" w:rsidRDefault="00DF44D0" w:rsidP="009D5030">
            <w:pPr>
              <w:pStyle w:val="ListParagraph"/>
              <w:ind w:left="0"/>
              <w:jc w:val="both"/>
            </w:pPr>
            <w:r>
              <w:t>Nolikuma 8.20. un 9.20.punkta ietvaros kandidātam ir jāsniedz pieprasītā informācija par attiecīgajā iepirkuma stadijā identificējamajiem apakšuzņēmējiem (šādi apakšuzņēmēji varētu būt, piemēram, 8.19.punkta ietvaros piesaistītās personas, ja tās tiek piesaistītas apakšuzņēmēju statusā)</w:t>
            </w:r>
            <w:r w:rsidR="00990C04">
              <w:t>, norādot iespējami detalizētu informāciju par nododamo līguma daļu darbu un procentuālo apjomu.</w:t>
            </w:r>
            <w:r w:rsidR="003337E3">
              <w:t xml:space="preserve"> Vienlaikus jāņem vērā, ka saskaņā ar</w:t>
            </w:r>
            <w:r w:rsidR="00BE20F1">
              <w:t xml:space="preserve"> Ministru kabineta 2017.gada 28.februāra noteikumu Nr.107 “</w:t>
            </w:r>
            <w:r w:rsidR="00CA1945">
              <w:t>Iepirkuma procedūru un meta konkursu norises kārtība” 42.13.punkta prasību</w:t>
            </w:r>
            <w:r w:rsidR="003337E3">
              <w:t xml:space="preserve"> precīza informācija par piesaistāmajiem apakšuzņēmējiem uzaicinātajiem </w:t>
            </w:r>
            <w:r w:rsidR="009D5030">
              <w:t>kandidāts</w:t>
            </w:r>
            <w:r w:rsidR="003337E3">
              <w:t xml:space="preserve"> būs jāiesniedz savā tehniskajā piedāvājumā</w:t>
            </w:r>
            <w:r w:rsidR="00CA1945">
              <w:t xml:space="preserve">. </w:t>
            </w:r>
          </w:p>
        </w:tc>
      </w:tr>
    </w:tbl>
    <w:p w:rsidR="0016663C" w:rsidRDefault="0016663C" w:rsidP="0016663C">
      <w:pPr>
        <w:pStyle w:val="ListParagraph"/>
        <w:ind w:left="709"/>
        <w:jc w:val="both"/>
      </w:pPr>
    </w:p>
    <w:p w:rsidR="00272811" w:rsidRDefault="00272811" w:rsidP="00272811">
      <w:pPr>
        <w:ind w:firstLine="720"/>
        <w:jc w:val="both"/>
      </w:pPr>
    </w:p>
    <w:p w:rsidR="00272811" w:rsidRDefault="00272811" w:rsidP="000C31E3">
      <w:pPr>
        <w:shd w:val="clear" w:color="auto" w:fill="DBE5F1" w:themeFill="accent1" w:themeFillTint="33"/>
        <w:jc w:val="both"/>
        <w:rPr>
          <w:b/>
          <w:bCs/>
        </w:rPr>
      </w:pPr>
      <w:r>
        <w:t xml:space="preserve"> </w:t>
      </w:r>
      <w:r>
        <w:rPr>
          <w:b/>
          <w:bCs/>
        </w:rPr>
        <w:t xml:space="preserve">Komisija nolemj: </w:t>
      </w:r>
    </w:p>
    <w:p w:rsidR="00272811" w:rsidRDefault="00272811" w:rsidP="000C31E3">
      <w:pPr>
        <w:numPr>
          <w:ilvl w:val="0"/>
          <w:numId w:val="1"/>
        </w:numPr>
        <w:shd w:val="clear" w:color="auto" w:fill="DBE5F1" w:themeFill="accent1" w:themeFillTint="33"/>
        <w:tabs>
          <w:tab w:val="num" w:pos="720"/>
        </w:tabs>
        <w:ind w:left="720" w:hanging="720"/>
        <w:jc w:val="both"/>
      </w:pPr>
      <w:r>
        <w:t xml:space="preserve">Atbalstīt </w:t>
      </w:r>
      <w:r w:rsidR="007D5DCD">
        <w:t xml:space="preserve">sagatavotās atbildes par </w:t>
      </w:r>
      <w:r w:rsidR="00F467C2">
        <w:t xml:space="preserve">slēgta konkursa </w:t>
      </w:r>
      <w:r w:rsidR="00097C01" w:rsidRPr="00E77527">
        <w:t>„</w:t>
      </w:r>
      <w:r w:rsidR="00F467C2">
        <w:rPr>
          <w:rStyle w:val="Heading1Char"/>
          <w:sz w:val="24"/>
        </w:rPr>
        <w:t>Skolas būvdarbi Ādažos</w:t>
      </w:r>
      <w:r w:rsidR="00097C01" w:rsidRPr="00E77527">
        <w:t>”</w:t>
      </w:r>
      <w:r w:rsidR="00097C01">
        <w:t xml:space="preserve"> (ID.Nr.: ĀND 201</w:t>
      </w:r>
      <w:r w:rsidR="009D36D6">
        <w:t>7</w:t>
      </w:r>
      <w:r w:rsidR="00097C01">
        <w:t>/9</w:t>
      </w:r>
      <w:r w:rsidR="009D36D6">
        <w:t>2</w:t>
      </w:r>
      <w:r w:rsidR="00097C01">
        <w:t>)</w:t>
      </w:r>
      <w:r w:rsidR="00FB4200">
        <w:t xml:space="preserve"> </w:t>
      </w:r>
      <w:r w:rsidR="00925A26">
        <w:t xml:space="preserve">kandidātu atlases </w:t>
      </w:r>
      <w:r w:rsidR="0083447E">
        <w:t>nolikuma</w:t>
      </w:r>
      <w:r w:rsidR="00925A26">
        <w:t xml:space="preserve"> projektu;</w:t>
      </w:r>
    </w:p>
    <w:p w:rsidR="007D5DCD" w:rsidRDefault="000711D9" w:rsidP="000C31E3">
      <w:pPr>
        <w:numPr>
          <w:ilvl w:val="0"/>
          <w:numId w:val="1"/>
        </w:numPr>
        <w:shd w:val="clear" w:color="auto" w:fill="DBE5F1" w:themeFill="accent1" w:themeFillTint="33"/>
        <w:tabs>
          <w:tab w:val="num" w:pos="720"/>
        </w:tabs>
        <w:ind w:left="720" w:hanging="720"/>
        <w:jc w:val="both"/>
      </w:pPr>
      <w:r>
        <w:t xml:space="preserve">R.Šteinai publicēt </w:t>
      </w:r>
      <w:r w:rsidR="00300566">
        <w:t>sniegtos skaidrojumus ĀND mājaslapā un nosūtīt arī jautājumu uzdevējam.</w:t>
      </w:r>
    </w:p>
    <w:p w:rsidR="00272811" w:rsidRDefault="00272811" w:rsidP="00272811">
      <w:pPr>
        <w:jc w:val="both"/>
        <w:rPr>
          <w:b/>
          <w:bCs/>
        </w:rPr>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9808C8">
        <w:t>ekšsēdētāja vietniece</w:t>
      </w:r>
      <w:r w:rsidR="00E14B63">
        <w:t xml:space="preserve"> sēdi slēdz plkst. 1</w:t>
      </w:r>
      <w:r w:rsidR="00300566">
        <w:t>3</w:t>
      </w:r>
      <w:r>
        <w:t>:00.</w:t>
      </w:r>
    </w:p>
    <w:p w:rsidR="00272811" w:rsidRDefault="00272811" w:rsidP="00272811">
      <w:pPr>
        <w:jc w:val="both"/>
      </w:pPr>
    </w:p>
    <w:p w:rsidR="00272811" w:rsidRDefault="00272811" w:rsidP="00272811">
      <w:pPr>
        <w:jc w:val="both"/>
        <w:rPr>
          <w:b/>
        </w:rPr>
      </w:pPr>
      <w:r>
        <w:rPr>
          <w:b/>
        </w:rPr>
        <w:t xml:space="preserve">Pielikumā:    </w:t>
      </w:r>
    </w:p>
    <w:p w:rsidR="00925A26" w:rsidRDefault="00300566" w:rsidP="00925A26">
      <w:pPr>
        <w:numPr>
          <w:ilvl w:val="0"/>
          <w:numId w:val="2"/>
        </w:numPr>
        <w:ind w:hanging="720"/>
        <w:jc w:val="both"/>
      </w:pPr>
      <w:r>
        <w:t>Ieinteresētā kandidāta jautājumu vēstule</w:t>
      </w:r>
      <w:r w:rsidR="00272811">
        <w:t>;</w:t>
      </w:r>
    </w:p>
    <w:p w:rsidR="00272811" w:rsidRDefault="00300566" w:rsidP="00023654">
      <w:pPr>
        <w:numPr>
          <w:ilvl w:val="0"/>
          <w:numId w:val="2"/>
        </w:numPr>
        <w:ind w:hanging="720"/>
        <w:jc w:val="both"/>
      </w:pPr>
      <w:r>
        <w:t>Izdruka no ĀND</w:t>
      </w:r>
      <w:r w:rsidR="00272811">
        <w:t>;</w:t>
      </w:r>
    </w:p>
    <w:p w:rsidR="00272811" w:rsidRDefault="00C9780F" w:rsidP="00023654">
      <w:pPr>
        <w:numPr>
          <w:ilvl w:val="0"/>
          <w:numId w:val="2"/>
        </w:numPr>
        <w:ind w:hanging="720"/>
        <w:jc w:val="both"/>
      </w:pPr>
      <w:r>
        <w:t>Ieinteresētajam kandidātam nosūtītā a</w:t>
      </w:r>
      <w:r w:rsidR="00300566">
        <w:t>tbilde</w:t>
      </w:r>
      <w:r w:rsidR="00272811">
        <w:t>.</w:t>
      </w:r>
    </w:p>
    <w:p w:rsidR="00272811" w:rsidRDefault="00272811" w:rsidP="00272811">
      <w:pPr>
        <w:jc w:val="both"/>
      </w:pPr>
    </w:p>
    <w:p w:rsidR="00272811" w:rsidRDefault="00272811" w:rsidP="00272811">
      <w:pPr>
        <w:jc w:val="both"/>
      </w:pPr>
    </w:p>
    <w:p w:rsidR="00E14B63" w:rsidRDefault="00E14B63" w:rsidP="00E14B63">
      <w:pPr>
        <w:ind w:right="-694"/>
        <w:jc w:val="both"/>
      </w:pPr>
      <w:r>
        <w:t>Komisijas priekšsēdētāj</w:t>
      </w:r>
      <w:r w:rsidR="009808C8">
        <w:t xml:space="preserve">a vietniece: </w:t>
      </w:r>
      <w:r w:rsidR="009808C8">
        <w:tab/>
      </w:r>
      <w:r>
        <w:t>_____________________</w:t>
      </w:r>
      <w:r>
        <w:tab/>
      </w:r>
      <w:r w:rsidR="009808C8">
        <w:t>R.Šteina</w:t>
      </w:r>
      <w:r>
        <w:t xml:space="preserve"> </w:t>
      </w:r>
    </w:p>
    <w:p w:rsidR="00E14B63" w:rsidRDefault="00E14B63" w:rsidP="00E14B63">
      <w:pPr>
        <w:ind w:right="-694"/>
        <w:jc w:val="both"/>
      </w:pPr>
    </w:p>
    <w:p w:rsidR="00E14B63" w:rsidRDefault="00E14B63" w:rsidP="00E14B63">
      <w:pPr>
        <w:ind w:right="-694"/>
        <w:jc w:val="both"/>
      </w:pPr>
      <w:r>
        <w:t>Komisijas locekļi:</w:t>
      </w:r>
      <w:r>
        <w:tab/>
      </w:r>
      <w:r>
        <w:tab/>
      </w:r>
      <w:r>
        <w:tab/>
      </w:r>
    </w:p>
    <w:p w:rsidR="00097C01" w:rsidRDefault="00E14B63" w:rsidP="00E14B63">
      <w:pPr>
        <w:ind w:right="-694"/>
        <w:jc w:val="both"/>
      </w:pPr>
      <w:r>
        <w:tab/>
      </w:r>
      <w:r>
        <w:tab/>
      </w:r>
      <w:r>
        <w:tab/>
      </w:r>
      <w:r>
        <w:tab/>
      </w:r>
      <w:r>
        <w:tab/>
      </w:r>
      <w:r w:rsidR="00097C01">
        <w:t>____________________</w:t>
      </w:r>
      <w:r w:rsidR="00097C01">
        <w:tab/>
        <w:t>E. Kāpa</w:t>
      </w:r>
    </w:p>
    <w:p w:rsidR="00E14B63" w:rsidRDefault="00E14B63" w:rsidP="00E14B63"/>
    <w:p w:rsidR="00E14B63" w:rsidRDefault="00E14B63" w:rsidP="00E14B63">
      <w:r>
        <w:tab/>
      </w:r>
      <w:r>
        <w:tab/>
      </w:r>
      <w:r>
        <w:tab/>
      </w:r>
      <w:r>
        <w:tab/>
      </w:r>
      <w:r>
        <w:tab/>
        <w:t>_____________________</w:t>
      </w:r>
      <w:r>
        <w:tab/>
        <w:t>H. Krasts</w:t>
      </w:r>
    </w:p>
    <w:p w:rsidR="00E14B63" w:rsidRDefault="00E14B63" w:rsidP="00E14B63"/>
    <w:p w:rsidR="00E14B63" w:rsidRDefault="00E14B63" w:rsidP="00E14B63">
      <w:r>
        <w:tab/>
      </w:r>
      <w:r>
        <w:tab/>
      </w:r>
      <w:r>
        <w:tab/>
      </w:r>
      <w:r>
        <w:tab/>
      </w:r>
      <w:r>
        <w:tab/>
        <w:t>_____________________</w:t>
      </w:r>
      <w:r>
        <w:tab/>
        <w:t>V. Bulāns</w:t>
      </w:r>
    </w:p>
    <w:p w:rsidR="00B5557C" w:rsidRDefault="00B5557C" w:rsidP="00272811"/>
    <w:p w:rsidR="00272811" w:rsidRDefault="00B5557C" w:rsidP="00272811">
      <w:r>
        <w:tab/>
      </w:r>
      <w:r>
        <w:tab/>
      </w:r>
      <w:r>
        <w:tab/>
      </w:r>
      <w:r>
        <w:tab/>
      </w:r>
      <w:r>
        <w:tab/>
      </w:r>
    </w:p>
    <w:p w:rsidR="00272811" w:rsidRDefault="00272811" w:rsidP="00272811">
      <w:r>
        <w:tab/>
      </w:r>
      <w:r>
        <w:tab/>
      </w:r>
      <w:r>
        <w:tab/>
      </w:r>
      <w:r>
        <w:tab/>
      </w:r>
      <w:r>
        <w:tab/>
      </w:r>
    </w:p>
    <w:p w:rsidR="00272811" w:rsidRDefault="00272811" w:rsidP="00272811"/>
    <w:p w:rsidR="006B6501" w:rsidRDefault="006B6501"/>
    <w:sectPr w:rsidR="006B6501" w:rsidSect="00E4167E">
      <w:pgSz w:w="11906" w:h="16838"/>
      <w:pgMar w:top="1701" w:right="1800" w:bottom="241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2A1"/>
    <w:multiLevelType w:val="hybridMultilevel"/>
    <w:tmpl w:val="62C4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EC6F42"/>
    <w:multiLevelType w:val="hybridMultilevel"/>
    <w:tmpl w:val="62C4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4A4F64"/>
    <w:multiLevelType w:val="hybridMultilevel"/>
    <w:tmpl w:val="91DA01DE"/>
    <w:lvl w:ilvl="0" w:tplc="7340D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04AA5"/>
    <w:rsid w:val="00023654"/>
    <w:rsid w:val="000711D9"/>
    <w:rsid w:val="0009587F"/>
    <w:rsid w:val="00097C01"/>
    <w:rsid w:val="000B0B2D"/>
    <w:rsid w:val="000C04A9"/>
    <w:rsid w:val="000C31E3"/>
    <w:rsid w:val="001464BD"/>
    <w:rsid w:val="00146516"/>
    <w:rsid w:val="0016663C"/>
    <w:rsid w:val="001D5B3D"/>
    <w:rsid w:val="001E56B8"/>
    <w:rsid w:val="001F4577"/>
    <w:rsid w:val="0020090F"/>
    <w:rsid w:val="002716BB"/>
    <w:rsid w:val="00272811"/>
    <w:rsid w:val="002A1C45"/>
    <w:rsid w:val="002A54C7"/>
    <w:rsid w:val="002A72D5"/>
    <w:rsid w:val="002B6414"/>
    <w:rsid w:val="002C3510"/>
    <w:rsid w:val="00300566"/>
    <w:rsid w:val="0031533E"/>
    <w:rsid w:val="003241BF"/>
    <w:rsid w:val="003337E3"/>
    <w:rsid w:val="00347760"/>
    <w:rsid w:val="00381801"/>
    <w:rsid w:val="003D52F4"/>
    <w:rsid w:val="003D78D5"/>
    <w:rsid w:val="003E6729"/>
    <w:rsid w:val="003F47A8"/>
    <w:rsid w:val="00426D74"/>
    <w:rsid w:val="0045036C"/>
    <w:rsid w:val="0045072A"/>
    <w:rsid w:val="00463D9A"/>
    <w:rsid w:val="004671C4"/>
    <w:rsid w:val="00487F2D"/>
    <w:rsid w:val="004C478A"/>
    <w:rsid w:val="004C7FE0"/>
    <w:rsid w:val="004E5069"/>
    <w:rsid w:val="00553B33"/>
    <w:rsid w:val="00567E5A"/>
    <w:rsid w:val="00570800"/>
    <w:rsid w:val="00580D28"/>
    <w:rsid w:val="005913ED"/>
    <w:rsid w:val="005D66B5"/>
    <w:rsid w:val="00600BFE"/>
    <w:rsid w:val="006208C5"/>
    <w:rsid w:val="00632AF2"/>
    <w:rsid w:val="00650725"/>
    <w:rsid w:val="006A579F"/>
    <w:rsid w:val="006B2C5B"/>
    <w:rsid w:val="006B4E61"/>
    <w:rsid w:val="006B6501"/>
    <w:rsid w:val="006B68BA"/>
    <w:rsid w:val="006D295B"/>
    <w:rsid w:val="007079A4"/>
    <w:rsid w:val="00766450"/>
    <w:rsid w:val="007D2CEA"/>
    <w:rsid w:val="007D5DCD"/>
    <w:rsid w:val="00805173"/>
    <w:rsid w:val="0083447E"/>
    <w:rsid w:val="00844A32"/>
    <w:rsid w:val="00863C22"/>
    <w:rsid w:val="008751B9"/>
    <w:rsid w:val="008A2CC0"/>
    <w:rsid w:val="008C3F6F"/>
    <w:rsid w:val="00913B55"/>
    <w:rsid w:val="00925A26"/>
    <w:rsid w:val="00941016"/>
    <w:rsid w:val="00977787"/>
    <w:rsid w:val="009808C8"/>
    <w:rsid w:val="00990C04"/>
    <w:rsid w:val="009C0C0A"/>
    <w:rsid w:val="009D16A3"/>
    <w:rsid w:val="009D1926"/>
    <w:rsid w:val="009D36D6"/>
    <w:rsid w:val="009D5030"/>
    <w:rsid w:val="00A4128B"/>
    <w:rsid w:val="00A47D1F"/>
    <w:rsid w:val="00A871A3"/>
    <w:rsid w:val="00A871CD"/>
    <w:rsid w:val="00AE1844"/>
    <w:rsid w:val="00B22AAB"/>
    <w:rsid w:val="00B23A4F"/>
    <w:rsid w:val="00B27748"/>
    <w:rsid w:val="00B30B65"/>
    <w:rsid w:val="00B4068D"/>
    <w:rsid w:val="00B5557C"/>
    <w:rsid w:val="00B70B31"/>
    <w:rsid w:val="00B80BB2"/>
    <w:rsid w:val="00B95BE5"/>
    <w:rsid w:val="00BB37C8"/>
    <w:rsid w:val="00BD1225"/>
    <w:rsid w:val="00BE20F1"/>
    <w:rsid w:val="00BE502E"/>
    <w:rsid w:val="00C17C60"/>
    <w:rsid w:val="00C6532F"/>
    <w:rsid w:val="00C93910"/>
    <w:rsid w:val="00C9780F"/>
    <w:rsid w:val="00CA1945"/>
    <w:rsid w:val="00CB1941"/>
    <w:rsid w:val="00D15748"/>
    <w:rsid w:val="00D83A65"/>
    <w:rsid w:val="00DB4A36"/>
    <w:rsid w:val="00DB51DC"/>
    <w:rsid w:val="00DB6C6C"/>
    <w:rsid w:val="00DC3215"/>
    <w:rsid w:val="00DE160A"/>
    <w:rsid w:val="00DE71B3"/>
    <w:rsid w:val="00DF44D0"/>
    <w:rsid w:val="00E0125D"/>
    <w:rsid w:val="00E14B63"/>
    <w:rsid w:val="00E33CFC"/>
    <w:rsid w:val="00E4167E"/>
    <w:rsid w:val="00E44EB7"/>
    <w:rsid w:val="00E460B0"/>
    <w:rsid w:val="00E63A48"/>
    <w:rsid w:val="00E656DF"/>
    <w:rsid w:val="00E77527"/>
    <w:rsid w:val="00F26F96"/>
    <w:rsid w:val="00F30832"/>
    <w:rsid w:val="00F467C2"/>
    <w:rsid w:val="00FB4200"/>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D8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A65"/>
    <w:rPr>
      <w:rFonts w:ascii="Tahoma" w:hAnsi="Tahoma" w:cs="Tahoma"/>
      <w:sz w:val="16"/>
      <w:szCs w:val="16"/>
    </w:rPr>
  </w:style>
  <w:style w:type="character" w:customStyle="1" w:styleId="BalloonTextChar">
    <w:name w:val="Balloon Text Char"/>
    <w:basedOn w:val="DefaultParagraphFont"/>
    <w:link w:val="BalloonText"/>
    <w:uiPriority w:val="99"/>
    <w:semiHidden/>
    <w:rsid w:val="00D83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table" w:styleId="TableGrid">
    <w:name w:val="Table Grid"/>
    <w:basedOn w:val="TableNormal"/>
    <w:uiPriority w:val="59"/>
    <w:rsid w:val="00D8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A65"/>
    <w:rPr>
      <w:rFonts w:ascii="Tahoma" w:hAnsi="Tahoma" w:cs="Tahoma"/>
      <w:sz w:val="16"/>
      <w:szCs w:val="16"/>
    </w:rPr>
  </w:style>
  <w:style w:type="character" w:customStyle="1" w:styleId="BalloonTextChar">
    <w:name w:val="Balloon Text Char"/>
    <w:basedOn w:val="DefaultParagraphFont"/>
    <w:link w:val="BalloonText"/>
    <w:uiPriority w:val="99"/>
    <w:semiHidden/>
    <w:rsid w:val="00D83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2373</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73</cp:revision>
  <dcterms:created xsi:type="dcterms:W3CDTF">2015-03-19T13:27:00Z</dcterms:created>
  <dcterms:modified xsi:type="dcterms:W3CDTF">2017-08-04T10:42:00Z</dcterms:modified>
</cp:coreProperties>
</file>