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272811">
      <w:pPr>
        <w:jc w:val="center"/>
        <w:rPr>
          <w:b/>
        </w:rPr>
      </w:pPr>
      <w:r>
        <w:rPr>
          <w:b/>
        </w:rPr>
        <w:t>Ādažu novada domes</w:t>
      </w:r>
    </w:p>
    <w:p w:rsidR="00272811" w:rsidRDefault="00272811" w:rsidP="00272811">
      <w:pPr>
        <w:jc w:val="center"/>
        <w:rPr>
          <w:b/>
        </w:rPr>
      </w:pPr>
      <w:r>
        <w:rPr>
          <w:b/>
        </w:rPr>
        <w:t>iepirkuma</w:t>
      </w:r>
    </w:p>
    <w:p w:rsidR="00272811" w:rsidRDefault="00272811" w:rsidP="00272811">
      <w:pPr>
        <w:jc w:val="center"/>
        <w:rPr>
          <w:b/>
          <w:sz w:val="8"/>
          <w:szCs w:val="8"/>
        </w:rPr>
      </w:pPr>
    </w:p>
    <w:p w:rsidR="00272811" w:rsidRDefault="00272811" w:rsidP="006208C5">
      <w:pPr>
        <w:jc w:val="center"/>
        <w:rPr>
          <w:b/>
          <w:sz w:val="28"/>
          <w:szCs w:val="28"/>
        </w:rPr>
      </w:pPr>
      <w:r>
        <w:rPr>
          <w:b/>
          <w:sz w:val="28"/>
          <w:szCs w:val="28"/>
        </w:rPr>
        <w:t>„</w:t>
      </w:r>
      <w:r w:rsidR="003D1793">
        <w:rPr>
          <w:rStyle w:val="Heading1Char"/>
          <w:b/>
        </w:rPr>
        <w:t>Muižas ielas pārbūve</w:t>
      </w:r>
      <w:r>
        <w:rPr>
          <w:b/>
          <w:sz w:val="28"/>
          <w:szCs w:val="28"/>
        </w:rPr>
        <w:t>”</w:t>
      </w:r>
    </w:p>
    <w:p w:rsidR="00272811" w:rsidRDefault="003D1793" w:rsidP="00272811">
      <w:pPr>
        <w:jc w:val="center"/>
        <w:rPr>
          <w:b/>
          <w:sz w:val="28"/>
          <w:szCs w:val="28"/>
        </w:rPr>
      </w:pPr>
      <w:r>
        <w:rPr>
          <w:b/>
          <w:sz w:val="28"/>
          <w:szCs w:val="28"/>
        </w:rPr>
        <w:t>(ID.Nr. ĀND 2017/01</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3D1793">
        <w:rPr>
          <w:b/>
        </w:rPr>
        <w:t xml:space="preserve"> Nr.05-30-2017/01</w:t>
      </w:r>
      <w:r w:rsidR="006B2C5B">
        <w:rPr>
          <w:b/>
        </w:rPr>
        <w:t>-</w:t>
      </w:r>
      <w:r w:rsidR="001D4969">
        <w:rPr>
          <w:b/>
        </w:rPr>
        <w:t>4</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3D1793" w:rsidP="00237347">
            <w:pPr>
              <w:jc w:val="right"/>
            </w:pPr>
            <w:r>
              <w:rPr>
                <w:b/>
              </w:rPr>
              <w:t>2017</w:t>
            </w:r>
            <w:r w:rsidR="002716BB">
              <w:rPr>
                <w:b/>
              </w:rPr>
              <w:t xml:space="preserve">. gada </w:t>
            </w:r>
            <w:r w:rsidR="001D4969">
              <w:rPr>
                <w:b/>
              </w:rPr>
              <w:t>1</w:t>
            </w:r>
            <w:r w:rsidR="00237347">
              <w:rPr>
                <w:b/>
              </w:rPr>
              <w:t>5</w:t>
            </w:r>
            <w:r w:rsidR="0030500F">
              <w:rPr>
                <w:b/>
              </w:rPr>
              <w:t>.</w:t>
            </w:r>
            <w:r w:rsidR="008A0107">
              <w:rPr>
                <w:b/>
              </w:rPr>
              <w:t>mart</w:t>
            </w:r>
            <w:r w:rsidR="008D118A">
              <w:rPr>
                <w:b/>
              </w:rPr>
              <w:t>ā</w:t>
            </w:r>
          </w:p>
        </w:tc>
      </w:tr>
    </w:tbl>
    <w:p w:rsidR="00272811" w:rsidRDefault="00272811" w:rsidP="00272811">
      <w:pPr>
        <w:rPr>
          <w:b/>
          <w:bCs/>
        </w:rPr>
      </w:pPr>
      <w:r>
        <w:tab/>
      </w:r>
      <w:r>
        <w:tab/>
      </w:r>
      <w:r>
        <w:tab/>
      </w:r>
      <w:r>
        <w:tab/>
      </w:r>
      <w:r>
        <w:tab/>
      </w:r>
      <w:r>
        <w:tab/>
      </w:r>
      <w:r>
        <w:tab/>
      </w:r>
      <w:r>
        <w:tab/>
      </w:r>
      <w:r>
        <w:tab/>
        <w:t xml:space="preserve">          </w:t>
      </w:r>
    </w:p>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priekšsēdētājs atklāj sēdi</w:t>
      </w:r>
      <w:r w:rsidR="00F30832">
        <w:rPr>
          <w:sz w:val="24"/>
        </w:rPr>
        <w:t xml:space="preserve"> plkst. 10</w:t>
      </w:r>
      <w:r>
        <w:rPr>
          <w:sz w:val="24"/>
        </w:rPr>
        <w:t>.00.</w:t>
      </w:r>
    </w:p>
    <w:p w:rsidR="00272811" w:rsidRDefault="00272811" w:rsidP="00272811">
      <w:pPr>
        <w:jc w:val="both"/>
        <w:rPr>
          <w:b/>
          <w:bCs/>
        </w:rPr>
      </w:pP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E656DF" w:rsidTr="00272811">
        <w:tc>
          <w:tcPr>
            <w:tcW w:w="3060" w:type="dxa"/>
          </w:tcPr>
          <w:p w:rsidR="00E656DF" w:rsidRDefault="00E656DF" w:rsidP="00E656DF">
            <w:pPr>
              <w:ind w:left="72" w:right="-694"/>
              <w:jc w:val="both"/>
            </w:pPr>
            <w:r>
              <w:t xml:space="preserve">Komisijas priekšsēdētājs: </w:t>
            </w:r>
          </w:p>
          <w:p w:rsidR="00E656DF" w:rsidRDefault="00E656DF" w:rsidP="00E656DF">
            <w:pPr>
              <w:ind w:left="72" w:right="-694"/>
              <w:jc w:val="both"/>
            </w:pPr>
            <w:r>
              <w:t>Komisijas locekļi:</w:t>
            </w:r>
          </w:p>
          <w:p w:rsidR="00E656DF" w:rsidRDefault="00E656DF" w:rsidP="00E656DF">
            <w:pPr>
              <w:ind w:left="72" w:right="-694"/>
              <w:jc w:val="both"/>
            </w:pPr>
          </w:p>
          <w:p w:rsidR="00E656DF" w:rsidRDefault="00E656DF" w:rsidP="00E656DF">
            <w:pPr>
              <w:ind w:left="72" w:right="-694"/>
              <w:jc w:val="both"/>
            </w:pPr>
          </w:p>
          <w:p w:rsidR="00E656DF" w:rsidRDefault="00E656DF" w:rsidP="00E656DF">
            <w:pPr>
              <w:ind w:left="72" w:right="-694"/>
              <w:jc w:val="both"/>
            </w:pPr>
          </w:p>
        </w:tc>
        <w:tc>
          <w:tcPr>
            <w:tcW w:w="4680" w:type="dxa"/>
            <w:hideMark/>
          </w:tcPr>
          <w:p w:rsidR="00E656DF" w:rsidRDefault="00E656DF" w:rsidP="00E656DF">
            <w:pPr>
              <w:ind w:right="-694"/>
              <w:jc w:val="both"/>
            </w:pPr>
            <w:r>
              <w:t>Artis Brūvers</w:t>
            </w:r>
          </w:p>
          <w:p w:rsidR="00E656DF" w:rsidRDefault="00E656DF" w:rsidP="00E656DF">
            <w:pPr>
              <w:jc w:val="both"/>
            </w:pPr>
            <w:r>
              <w:t>Uģis Dambis</w:t>
            </w:r>
          </w:p>
          <w:p w:rsidR="00237347" w:rsidRDefault="00237347" w:rsidP="00E656DF">
            <w:pPr>
              <w:jc w:val="both"/>
            </w:pPr>
            <w:r>
              <w:t>Rita Šteina</w:t>
            </w:r>
          </w:p>
          <w:p w:rsidR="00E656DF" w:rsidRDefault="003D1793" w:rsidP="00E656DF">
            <w:pPr>
              <w:jc w:val="both"/>
            </w:pPr>
            <w:r>
              <w:t>Halfors Krasts</w:t>
            </w:r>
          </w:p>
          <w:p w:rsidR="0030500F" w:rsidRDefault="0030500F" w:rsidP="00E656DF">
            <w:pPr>
              <w:jc w:val="both"/>
            </w:pPr>
            <w:r>
              <w:t>Valērijs Bulāns</w:t>
            </w:r>
          </w:p>
          <w:p w:rsidR="00E656DF" w:rsidRDefault="00E656DF" w:rsidP="00E656DF">
            <w:pPr>
              <w:jc w:val="both"/>
            </w:pPr>
          </w:p>
        </w:tc>
      </w:tr>
    </w:tbl>
    <w:p w:rsidR="00272811" w:rsidRDefault="00272811" w:rsidP="00272811">
      <w:pPr>
        <w:rPr>
          <w:b/>
        </w:rPr>
      </w:pPr>
      <w:r>
        <w:rPr>
          <w:b/>
        </w:rPr>
        <w:t xml:space="preserve">Komisijas izveides pamats: </w:t>
      </w:r>
    </w:p>
    <w:p w:rsidR="00F30832" w:rsidRDefault="00F30832" w:rsidP="00F30832">
      <w:pPr>
        <w:ind w:left="709" w:right="26"/>
        <w:jc w:val="both"/>
        <w:rPr>
          <w:color w:val="FF0000"/>
        </w:rPr>
      </w:pPr>
      <w:r>
        <w:t xml:space="preserve">Ādažu novada domes 2013.gada 24.septembra </w:t>
      </w:r>
      <w:smartTag w:uri="schemas-tilde-lv/tildestengine" w:element="veidnes">
        <w:smartTagPr>
          <w:attr w:name="text" w:val="lēmums"/>
          <w:attr w:name="baseform" w:val="lēmums"/>
          <w:attr w:name="id" w:val="-1"/>
        </w:smartTagPr>
        <w:r>
          <w:t>lēmums</w:t>
        </w:r>
      </w:smartTag>
      <w:r>
        <w:t xml:space="preserve"> Nr. 215. un Ādažu novada domes 2014.gada 28.jūlija ārkārtas domes sēdes lēmums Nr. 17§ 2.</w:t>
      </w:r>
    </w:p>
    <w:p w:rsidR="000C31E3" w:rsidRDefault="000C31E3" w:rsidP="00B27748">
      <w:pPr>
        <w:ind w:left="720"/>
        <w:jc w:val="both"/>
        <w:rPr>
          <w:b/>
          <w:bCs/>
        </w:rPr>
      </w:pPr>
    </w:p>
    <w:p w:rsidR="00272811" w:rsidRDefault="00272811" w:rsidP="00272811">
      <w:pPr>
        <w:jc w:val="both"/>
      </w:pPr>
      <w:r>
        <w:rPr>
          <w:b/>
          <w:bCs/>
        </w:rPr>
        <w:t>Darba kārtībā:</w:t>
      </w:r>
    </w:p>
    <w:p w:rsidR="00272811" w:rsidRDefault="008A0107" w:rsidP="00272811">
      <w:pPr>
        <w:tabs>
          <w:tab w:val="left" w:pos="993"/>
        </w:tabs>
        <w:ind w:left="709"/>
        <w:jc w:val="both"/>
      </w:pPr>
      <w:r>
        <w:t>Skaidrojumu sniegšana par</w:t>
      </w:r>
      <w:r w:rsidR="00B77AC0">
        <w:t xml:space="preserve"> iepirkuma</w:t>
      </w:r>
      <w:r w:rsidR="00272811">
        <w:t xml:space="preserve"> </w:t>
      </w:r>
      <w:r w:rsidR="00272811" w:rsidRPr="00E77527">
        <w:t>„</w:t>
      </w:r>
      <w:r w:rsidR="003D1793">
        <w:rPr>
          <w:rStyle w:val="Heading1Char"/>
          <w:sz w:val="24"/>
        </w:rPr>
        <w:t>Muižas ielas pārbūve</w:t>
      </w:r>
      <w:r w:rsidR="006B68BA" w:rsidRPr="00E77527">
        <w:t>”</w:t>
      </w:r>
      <w:r w:rsidR="00E77527">
        <w:t xml:space="preserve"> </w:t>
      </w:r>
      <w:r w:rsidR="003D1793">
        <w:t>(ID.Nr.: ĀND 2017</w:t>
      </w:r>
      <w:r w:rsidR="006B68BA">
        <w:t>/</w:t>
      </w:r>
      <w:r w:rsidR="003D1793">
        <w:t>01</w:t>
      </w:r>
      <w:r w:rsidR="00272811">
        <w:t xml:space="preserve">) </w:t>
      </w:r>
      <w:r w:rsidR="00B77AC0">
        <w:t>nolikum</w:t>
      </w:r>
      <w:r>
        <w:t>u</w:t>
      </w:r>
      <w:r w:rsidR="00272811">
        <w:t>.</w:t>
      </w:r>
    </w:p>
    <w:p w:rsidR="000C31E3" w:rsidRDefault="000C31E3" w:rsidP="00272811">
      <w:pPr>
        <w:tabs>
          <w:tab w:val="left" w:pos="993"/>
        </w:tabs>
        <w:ind w:left="709"/>
        <w:jc w:val="both"/>
        <w:rPr>
          <w:b/>
        </w:rPr>
      </w:pPr>
    </w:p>
    <w:p w:rsidR="00272811" w:rsidRDefault="00272811" w:rsidP="00272811">
      <w:pPr>
        <w:jc w:val="both"/>
        <w:rPr>
          <w:b/>
        </w:rPr>
      </w:pPr>
      <w:r>
        <w:rPr>
          <w:b/>
        </w:rPr>
        <w:t>Darba gaita:</w:t>
      </w:r>
    </w:p>
    <w:p w:rsidR="00023654" w:rsidRDefault="00B77AC0" w:rsidP="00B77AC0">
      <w:pPr>
        <w:pStyle w:val="ListParagraph"/>
        <w:numPr>
          <w:ilvl w:val="0"/>
          <w:numId w:val="3"/>
        </w:numPr>
        <w:ind w:left="709" w:hanging="709"/>
        <w:jc w:val="both"/>
      </w:pPr>
      <w:r>
        <w:t>R.Šteina ziņo par ieinteresēt</w:t>
      </w:r>
      <w:r w:rsidR="00237347">
        <w:t>o</w:t>
      </w:r>
      <w:r>
        <w:t xml:space="preserve"> pretendent</w:t>
      </w:r>
      <w:r w:rsidR="00237347">
        <w:t>u</w:t>
      </w:r>
      <w:r>
        <w:t xml:space="preserve"> uzdotajiem jautājumiem par iepirkuma</w:t>
      </w:r>
      <w:r w:rsidR="00272811">
        <w:t xml:space="preserve"> </w:t>
      </w:r>
      <w:r w:rsidR="003D1793" w:rsidRPr="00E77527">
        <w:t>„</w:t>
      </w:r>
      <w:r w:rsidR="003D1793" w:rsidRPr="00B77AC0">
        <w:rPr>
          <w:rStyle w:val="Heading1Char"/>
          <w:sz w:val="24"/>
        </w:rPr>
        <w:t>Muižas ielas pārbūve</w:t>
      </w:r>
      <w:r w:rsidR="003D1793" w:rsidRPr="00E77527">
        <w:t>”</w:t>
      </w:r>
      <w:r w:rsidR="003D1793">
        <w:t xml:space="preserve"> (ID.Nr.: ĀND 2017/01)</w:t>
      </w:r>
      <w:r w:rsidR="00863C22">
        <w:t xml:space="preserve"> </w:t>
      </w:r>
      <w:r>
        <w:t>nolikum</w:t>
      </w:r>
      <w:r w:rsidR="008A0107">
        <w:t>u.</w:t>
      </w:r>
    </w:p>
    <w:p w:rsidR="00B77AC0" w:rsidRDefault="00B77AC0" w:rsidP="00B77AC0">
      <w:pPr>
        <w:pStyle w:val="ListParagraph"/>
        <w:numPr>
          <w:ilvl w:val="0"/>
          <w:numId w:val="3"/>
        </w:numPr>
        <w:ind w:left="709" w:hanging="709"/>
        <w:jc w:val="both"/>
      </w:pPr>
      <w:r>
        <w:t>Komisija apspriež ieinteresēt</w:t>
      </w:r>
      <w:r w:rsidR="00237347">
        <w:t>o</w:t>
      </w:r>
      <w:r w:rsidR="00E86C5D">
        <w:t xml:space="preserve"> pretendent</w:t>
      </w:r>
      <w:r w:rsidR="00237347">
        <w:t>u</w:t>
      </w:r>
      <w:r w:rsidR="00E86C5D">
        <w:t xml:space="preserve"> uzdotos jautājumus un sniedzamās atbildes.</w:t>
      </w:r>
    </w:p>
    <w:p w:rsidR="00272811" w:rsidRDefault="00272811" w:rsidP="00023654">
      <w:pPr>
        <w:pStyle w:val="ListParagraph"/>
        <w:numPr>
          <w:ilvl w:val="0"/>
          <w:numId w:val="3"/>
        </w:numPr>
        <w:ind w:left="709" w:hanging="709"/>
        <w:jc w:val="both"/>
      </w:pPr>
      <w:r>
        <w:t xml:space="preserve">Komisija </w:t>
      </w:r>
      <w:r w:rsidR="00B77AC0">
        <w:t xml:space="preserve">lemj </w:t>
      </w:r>
      <w:r w:rsidR="00E86C5D">
        <w:t>sniegt šādas atbildes</w:t>
      </w:r>
      <w:r w:rsidR="00B77AC0">
        <w:t>:</w:t>
      </w:r>
    </w:p>
    <w:p w:rsidR="00B77AC0" w:rsidRDefault="00B77AC0" w:rsidP="00480122">
      <w:pPr>
        <w:pStyle w:val="ListParagraph"/>
        <w:ind w:left="709"/>
        <w:jc w:val="both"/>
      </w:pPr>
    </w:p>
    <w:tbl>
      <w:tblPr>
        <w:tblStyle w:val="TableGrid"/>
        <w:tblW w:w="10490" w:type="dxa"/>
        <w:jc w:val="center"/>
        <w:tblInd w:w="-1168" w:type="dxa"/>
        <w:tblLayout w:type="fixed"/>
        <w:tblLook w:val="04A0" w:firstRow="1" w:lastRow="0" w:firstColumn="1" w:lastColumn="0" w:noHBand="0" w:noVBand="1"/>
      </w:tblPr>
      <w:tblGrid>
        <w:gridCol w:w="567"/>
        <w:gridCol w:w="1059"/>
        <w:gridCol w:w="4045"/>
        <w:gridCol w:w="4819"/>
      </w:tblGrid>
      <w:tr w:rsidR="001E67C9" w:rsidRPr="00804364" w:rsidTr="0038516D">
        <w:trPr>
          <w:jc w:val="center"/>
        </w:trPr>
        <w:tc>
          <w:tcPr>
            <w:tcW w:w="567" w:type="dxa"/>
            <w:shd w:val="clear" w:color="auto" w:fill="EAF1DD" w:themeFill="accent3" w:themeFillTint="33"/>
          </w:tcPr>
          <w:p w:rsidR="001E67C9" w:rsidRPr="00804364" w:rsidRDefault="001E67C9" w:rsidP="00480122">
            <w:pPr>
              <w:pStyle w:val="ListParagraph"/>
              <w:ind w:left="0"/>
              <w:jc w:val="both"/>
              <w:rPr>
                <w:b/>
                <w:sz w:val="22"/>
                <w:szCs w:val="22"/>
              </w:rPr>
            </w:pPr>
          </w:p>
        </w:tc>
        <w:tc>
          <w:tcPr>
            <w:tcW w:w="1059" w:type="dxa"/>
            <w:shd w:val="clear" w:color="auto" w:fill="EAF1DD" w:themeFill="accent3" w:themeFillTint="33"/>
          </w:tcPr>
          <w:p w:rsidR="001E67C9" w:rsidRPr="00804364" w:rsidRDefault="001E67C9" w:rsidP="001E67C9">
            <w:pPr>
              <w:pStyle w:val="ListParagraph"/>
              <w:ind w:left="0"/>
              <w:jc w:val="both"/>
              <w:rPr>
                <w:b/>
                <w:sz w:val="22"/>
                <w:szCs w:val="22"/>
              </w:rPr>
            </w:pPr>
            <w:r w:rsidRPr="00804364">
              <w:rPr>
                <w:b/>
                <w:sz w:val="22"/>
                <w:szCs w:val="22"/>
              </w:rPr>
              <w:t>Nolikums</w:t>
            </w:r>
          </w:p>
        </w:tc>
        <w:tc>
          <w:tcPr>
            <w:tcW w:w="4045" w:type="dxa"/>
            <w:shd w:val="clear" w:color="auto" w:fill="EAF1DD" w:themeFill="accent3" w:themeFillTint="33"/>
          </w:tcPr>
          <w:p w:rsidR="001E67C9" w:rsidRPr="00804364" w:rsidRDefault="001E67C9" w:rsidP="00480122">
            <w:pPr>
              <w:pStyle w:val="ListParagraph"/>
              <w:ind w:left="0"/>
              <w:jc w:val="both"/>
              <w:rPr>
                <w:b/>
                <w:sz w:val="22"/>
                <w:szCs w:val="22"/>
              </w:rPr>
            </w:pPr>
            <w:r w:rsidRPr="00804364">
              <w:rPr>
                <w:b/>
                <w:sz w:val="22"/>
                <w:szCs w:val="22"/>
              </w:rPr>
              <w:t>Jautājums</w:t>
            </w:r>
          </w:p>
        </w:tc>
        <w:tc>
          <w:tcPr>
            <w:tcW w:w="4819" w:type="dxa"/>
            <w:shd w:val="clear" w:color="auto" w:fill="EAF1DD" w:themeFill="accent3" w:themeFillTint="33"/>
          </w:tcPr>
          <w:p w:rsidR="001E67C9" w:rsidRPr="00804364" w:rsidRDefault="001E67C9" w:rsidP="00480122">
            <w:pPr>
              <w:pStyle w:val="ListParagraph"/>
              <w:ind w:left="0"/>
              <w:jc w:val="both"/>
              <w:rPr>
                <w:b/>
                <w:sz w:val="22"/>
                <w:szCs w:val="22"/>
              </w:rPr>
            </w:pPr>
            <w:r w:rsidRPr="00804364">
              <w:rPr>
                <w:b/>
                <w:sz w:val="22"/>
                <w:szCs w:val="22"/>
              </w:rPr>
              <w:t>Atbilde</w:t>
            </w:r>
          </w:p>
        </w:tc>
      </w:tr>
      <w:tr w:rsidR="001E67C9" w:rsidRPr="00804364" w:rsidTr="0038516D">
        <w:trPr>
          <w:jc w:val="center"/>
        </w:trPr>
        <w:tc>
          <w:tcPr>
            <w:tcW w:w="567" w:type="dxa"/>
          </w:tcPr>
          <w:p w:rsidR="001E67C9" w:rsidRPr="00804364" w:rsidRDefault="00804364" w:rsidP="00480122">
            <w:pPr>
              <w:pStyle w:val="ListParagraph"/>
              <w:ind w:left="0"/>
              <w:jc w:val="both"/>
              <w:rPr>
                <w:sz w:val="22"/>
                <w:szCs w:val="22"/>
              </w:rPr>
            </w:pPr>
            <w:r w:rsidRPr="00804364">
              <w:rPr>
                <w:sz w:val="22"/>
                <w:szCs w:val="22"/>
              </w:rPr>
              <w:t xml:space="preserve">1. </w:t>
            </w:r>
          </w:p>
        </w:tc>
        <w:tc>
          <w:tcPr>
            <w:tcW w:w="1059" w:type="dxa"/>
          </w:tcPr>
          <w:p w:rsidR="001E67C9" w:rsidRPr="00804364" w:rsidRDefault="001E67C9" w:rsidP="00480122">
            <w:pPr>
              <w:pStyle w:val="ListParagraph"/>
              <w:ind w:left="0"/>
              <w:jc w:val="both"/>
              <w:rPr>
                <w:sz w:val="16"/>
                <w:szCs w:val="16"/>
              </w:rPr>
            </w:pPr>
            <w:r w:rsidRPr="00804364">
              <w:rPr>
                <w:sz w:val="16"/>
                <w:szCs w:val="16"/>
              </w:rPr>
              <w:t>4.4.3.</w:t>
            </w:r>
          </w:p>
        </w:tc>
        <w:tc>
          <w:tcPr>
            <w:tcW w:w="4045" w:type="dxa"/>
          </w:tcPr>
          <w:p w:rsidR="001E67C9" w:rsidRPr="00804364" w:rsidRDefault="001E67C9" w:rsidP="00773408">
            <w:pPr>
              <w:pStyle w:val="BodyText"/>
              <w:spacing w:before="120"/>
              <w:jc w:val="both"/>
              <w:rPr>
                <w:rFonts w:ascii="Times New Roman" w:hAnsi="Times New Roman"/>
                <w:color w:val="000000"/>
                <w:sz w:val="22"/>
                <w:szCs w:val="22"/>
              </w:rPr>
            </w:pPr>
            <w:r w:rsidRPr="00804364">
              <w:rPr>
                <w:rFonts w:ascii="Times New Roman" w:hAnsi="Times New Roman"/>
                <w:sz w:val="22"/>
                <w:szCs w:val="22"/>
              </w:rPr>
              <w:t>4.4.3.punktā teikts: Vienību izcenojumi identiskiem būvdarbiem I, II, III un IV būvdarbu kārtā nedrīkst savā starpā atšķirties.</w:t>
            </w:r>
          </w:p>
          <w:p w:rsidR="001E67C9" w:rsidRPr="00804364" w:rsidRDefault="001E67C9" w:rsidP="00773408">
            <w:pPr>
              <w:jc w:val="both"/>
              <w:rPr>
                <w:sz w:val="22"/>
                <w:szCs w:val="22"/>
              </w:rPr>
            </w:pPr>
            <w:r w:rsidRPr="00804364">
              <w:rPr>
                <w:sz w:val="22"/>
                <w:szCs w:val="22"/>
              </w:rPr>
              <w:t xml:space="preserve">Vai, piemēram, II daļas, ielas pārbūves tāmē  ‘’Zemes klātnes ierakuma būvniecība’’ Meža ielai un ‘’Zemes klātnes ierakuma būvniecība’’ nobrauktuvēm ir uzskatāmi par identiskiem būvdarbiem? Neizpratne rodas, jo pozīciju nosaukums ir  ‘’Zemes klātnes ierakuma būvniecība’’ pozīcijā, nenorādot konstrukciju, kas padarītu darbus par </w:t>
            </w:r>
            <w:r w:rsidRPr="00804364">
              <w:rPr>
                <w:sz w:val="22"/>
                <w:szCs w:val="22"/>
              </w:rPr>
              <w:lastRenderedPageBreak/>
              <w:t>neidentiskiem.</w:t>
            </w:r>
          </w:p>
          <w:p w:rsidR="001E67C9" w:rsidRPr="00804364" w:rsidRDefault="001E67C9" w:rsidP="00EE4750">
            <w:pPr>
              <w:jc w:val="both"/>
              <w:rPr>
                <w:sz w:val="22"/>
                <w:szCs w:val="22"/>
              </w:rPr>
            </w:pPr>
            <w:r w:rsidRPr="00804364">
              <w:rPr>
                <w:sz w:val="22"/>
                <w:szCs w:val="22"/>
              </w:rPr>
              <w:t>Vai par identiskiem darbiem var uzskatīt tikai tos darbus kas I, II, III un IV būvdarbu kārtā ir ar identisku nosaukumu un paredzēti identiskām konstrukcijām?</w:t>
            </w:r>
          </w:p>
        </w:tc>
        <w:tc>
          <w:tcPr>
            <w:tcW w:w="4819" w:type="dxa"/>
          </w:tcPr>
          <w:p w:rsidR="001E67C9" w:rsidRPr="00804364" w:rsidRDefault="001E67C9" w:rsidP="00491566">
            <w:pPr>
              <w:jc w:val="both"/>
              <w:rPr>
                <w:sz w:val="22"/>
                <w:szCs w:val="22"/>
              </w:rPr>
            </w:pPr>
            <w:r w:rsidRPr="00804364">
              <w:rPr>
                <w:sz w:val="22"/>
                <w:szCs w:val="22"/>
              </w:rPr>
              <w:lastRenderedPageBreak/>
              <w:t>P</w:t>
            </w:r>
            <w:r w:rsidRPr="00804364">
              <w:rPr>
                <w:sz w:val="22"/>
                <w:szCs w:val="22"/>
              </w:rPr>
              <w:t xml:space="preserve">ar identiskiem darbiem </w:t>
            </w:r>
            <w:r w:rsidRPr="00804364">
              <w:rPr>
                <w:sz w:val="22"/>
                <w:szCs w:val="22"/>
              </w:rPr>
              <w:t>uzskatāmi darbi,</w:t>
            </w:r>
            <w:r w:rsidRPr="00804364">
              <w:rPr>
                <w:sz w:val="22"/>
                <w:szCs w:val="22"/>
              </w:rPr>
              <w:t xml:space="preserve"> kas I, II, III un IV būvdarbu kārtā ir </w:t>
            </w:r>
            <w:bookmarkStart w:id="0" w:name="_GoBack"/>
            <w:bookmarkEnd w:id="0"/>
            <w:r w:rsidRPr="00804364">
              <w:rPr>
                <w:sz w:val="22"/>
                <w:szCs w:val="22"/>
              </w:rPr>
              <w:t>identisk</w:t>
            </w:r>
            <w:r w:rsidRPr="00804364">
              <w:rPr>
                <w:sz w:val="22"/>
                <w:szCs w:val="22"/>
              </w:rPr>
              <w:t>i</w:t>
            </w:r>
            <w:r w:rsidRPr="00804364">
              <w:rPr>
                <w:sz w:val="22"/>
                <w:szCs w:val="22"/>
              </w:rPr>
              <w:t xml:space="preserve"> nosaukum</w:t>
            </w:r>
            <w:r w:rsidRPr="00804364">
              <w:rPr>
                <w:sz w:val="22"/>
                <w:szCs w:val="22"/>
              </w:rPr>
              <w:t>a un satura ziņā.</w:t>
            </w:r>
            <w:r w:rsidRPr="00804364">
              <w:rPr>
                <w:sz w:val="22"/>
                <w:szCs w:val="22"/>
              </w:rPr>
              <w:t xml:space="preserve"> </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lastRenderedPageBreak/>
              <w:t>2.</w:t>
            </w:r>
          </w:p>
        </w:tc>
        <w:tc>
          <w:tcPr>
            <w:tcW w:w="1059" w:type="dxa"/>
          </w:tcPr>
          <w:p w:rsidR="001E67C9" w:rsidRPr="00804364" w:rsidRDefault="001E67C9" w:rsidP="00DA275B">
            <w:pPr>
              <w:pStyle w:val="ListParagraph"/>
              <w:ind w:left="0"/>
              <w:jc w:val="both"/>
              <w:rPr>
                <w:sz w:val="16"/>
                <w:szCs w:val="16"/>
              </w:rPr>
            </w:pPr>
            <w:r w:rsidRPr="00804364">
              <w:rPr>
                <w:sz w:val="16"/>
                <w:szCs w:val="16"/>
              </w:rPr>
              <w:t>TS</w:t>
            </w:r>
          </w:p>
        </w:tc>
        <w:tc>
          <w:tcPr>
            <w:tcW w:w="4045" w:type="dxa"/>
          </w:tcPr>
          <w:p w:rsidR="001E67C9" w:rsidRPr="00804364" w:rsidRDefault="001E67C9" w:rsidP="00C36386">
            <w:pPr>
              <w:jc w:val="both"/>
              <w:rPr>
                <w:sz w:val="22"/>
                <w:szCs w:val="22"/>
                <w:u w:val="single"/>
              </w:rPr>
            </w:pPr>
            <w:r w:rsidRPr="00804364">
              <w:rPr>
                <w:sz w:val="22"/>
                <w:szCs w:val="22"/>
                <w:u w:val="single"/>
              </w:rPr>
              <w:t xml:space="preserve">Par granīta apmalēm </w:t>
            </w:r>
          </w:p>
          <w:p w:rsidR="001E67C9" w:rsidRPr="00804364" w:rsidRDefault="001E67C9" w:rsidP="00C604CF">
            <w:pPr>
              <w:spacing w:after="120"/>
              <w:jc w:val="both"/>
              <w:rPr>
                <w:sz w:val="22"/>
                <w:szCs w:val="22"/>
              </w:rPr>
            </w:pPr>
            <w:r w:rsidRPr="00804364">
              <w:rPr>
                <w:sz w:val="22"/>
                <w:szCs w:val="22"/>
              </w:rPr>
              <w:t xml:space="preserve">Atbilstoši Konkursa nolikuma pievienotā būvprojekta Pārbūves darbu II kārtas A daļas tāmes, kas attiecas uz ielas darbiem, (turpmāk – Tāme A) pozīcijai Nr.5.5 un Pārbūves darbu II kārtas B daļas tāmes, kas attiecas uz ielas darbiem, pozīcijai Nr.5.5 objektā paredzēts uzstādīt granīta apmales ar izmēru 100x22x15 uz betona un </w:t>
            </w:r>
            <w:proofErr w:type="spellStart"/>
            <w:r w:rsidRPr="00804364">
              <w:rPr>
                <w:sz w:val="22"/>
                <w:szCs w:val="22"/>
              </w:rPr>
              <w:t>minerālmateriālu</w:t>
            </w:r>
            <w:proofErr w:type="spellEnd"/>
            <w:r w:rsidRPr="00804364">
              <w:rPr>
                <w:sz w:val="22"/>
                <w:szCs w:val="22"/>
              </w:rPr>
              <w:t xml:space="preserve"> maisījuma pamata. Savukārt atbilstoši Konkursa nolikumam pievienotā būvprojekta Tehniskās specifikācijas (turpmāk – Tehniskā specifikācija) 1.6.3.punktam uzstādāmo granīta apmaļu izmērs ir 30x22x100.</w:t>
            </w:r>
          </w:p>
          <w:p w:rsidR="001E67C9" w:rsidRPr="00804364" w:rsidRDefault="001E67C9" w:rsidP="00EE4750">
            <w:pPr>
              <w:spacing w:after="120"/>
              <w:jc w:val="both"/>
              <w:rPr>
                <w:sz w:val="22"/>
                <w:szCs w:val="22"/>
              </w:rPr>
            </w:pPr>
            <w:r w:rsidRPr="00804364">
              <w:rPr>
                <w:sz w:val="22"/>
                <w:szCs w:val="22"/>
              </w:rPr>
              <w:t xml:space="preserve">Ievērojot, ka Konkursa nolikumam pievienotajos dokumentos granīta apmaļu izmērs ir norādīts pretrunīgi, lūdzam Pasūtītāju precizēt granīta apmaļu izmēru. Papildus lūdzam norādīt arī granīta apmaļu krāsu toni. </w:t>
            </w:r>
          </w:p>
        </w:tc>
        <w:tc>
          <w:tcPr>
            <w:tcW w:w="4819" w:type="dxa"/>
          </w:tcPr>
          <w:p w:rsidR="001E67C9" w:rsidRPr="00804364" w:rsidRDefault="001E67C9" w:rsidP="00F37B96">
            <w:pPr>
              <w:spacing w:after="120"/>
              <w:jc w:val="both"/>
              <w:rPr>
                <w:sz w:val="22"/>
                <w:szCs w:val="22"/>
              </w:rPr>
            </w:pPr>
            <w:r w:rsidRPr="00804364">
              <w:rPr>
                <w:sz w:val="22"/>
                <w:szCs w:val="22"/>
              </w:rPr>
              <w:t>Granīta apmales izmēri 100x22x15, atbilstoši tāmju pozīcijās norādītajam. Granīta krāsa – pelēka (Krāsas tonis līdzīgs betona apmales tonim).</w:t>
            </w:r>
          </w:p>
          <w:p w:rsidR="001E67C9" w:rsidRPr="00804364" w:rsidRDefault="001E67C9" w:rsidP="00DA275B">
            <w:pPr>
              <w:pStyle w:val="ListParagraph"/>
              <w:ind w:left="0"/>
              <w:jc w:val="both"/>
              <w:rPr>
                <w:sz w:val="22"/>
                <w:szCs w:val="22"/>
              </w:rPr>
            </w:pP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t>3.</w:t>
            </w:r>
          </w:p>
        </w:tc>
        <w:tc>
          <w:tcPr>
            <w:tcW w:w="1059" w:type="dxa"/>
          </w:tcPr>
          <w:p w:rsidR="001E67C9" w:rsidRPr="00804364" w:rsidRDefault="001E67C9" w:rsidP="00DA275B">
            <w:pPr>
              <w:pStyle w:val="ListParagraph"/>
              <w:ind w:left="0"/>
              <w:jc w:val="both"/>
              <w:rPr>
                <w:sz w:val="16"/>
                <w:szCs w:val="16"/>
              </w:rPr>
            </w:pPr>
            <w:r w:rsidRPr="00804364">
              <w:rPr>
                <w:sz w:val="16"/>
                <w:szCs w:val="16"/>
              </w:rPr>
              <w:t>TS</w:t>
            </w:r>
          </w:p>
        </w:tc>
        <w:tc>
          <w:tcPr>
            <w:tcW w:w="4045" w:type="dxa"/>
          </w:tcPr>
          <w:p w:rsidR="001E67C9" w:rsidRPr="00804364" w:rsidRDefault="001E67C9" w:rsidP="00C604CF">
            <w:pPr>
              <w:jc w:val="both"/>
              <w:rPr>
                <w:sz w:val="22"/>
                <w:szCs w:val="22"/>
                <w:u w:val="single"/>
              </w:rPr>
            </w:pPr>
            <w:r w:rsidRPr="00804364">
              <w:rPr>
                <w:sz w:val="22"/>
                <w:szCs w:val="22"/>
                <w:u w:val="single"/>
              </w:rPr>
              <w:t>Par caurteku stiprību</w:t>
            </w:r>
          </w:p>
          <w:p w:rsidR="001E67C9" w:rsidRPr="00804364" w:rsidRDefault="001E67C9" w:rsidP="00C604CF">
            <w:pPr>
              <w:spacing w:after="120"/>
              <w:jc w:val="both"/>
              <w:rPr>
                <w:sz w:val="22"/>
                <w:szCs w:val="22"/>
              </w:rPr>
            </w:pPr>
            <w:r w:rsidRPr="00804364">
              <w:rPr>
                <w:sz w:val="22"/>
                <w:szCs w:val="22"/>
              </w:rPr>
              <w:t xml:space="preserve">Saskaņā ar Tāmes A pozīciju Nr.2.15 būvuzņēmējam jāveic metāla caurtekas D1000 izbūve ar rasējumā TS-4-2 norādīto darbu komplektu. Savukārt Tehniskās specifikācijas 1.3.3.punktā norādīts, ka caurtekas izbūve jāveic atbilstoši rasējumos “TS-4-1 Caurtekas” noteiktajiem darbu apjomiem un darbu specifikācijām, caurtekām jāatbilst stiprības klasei T8 (SN8). </w:t>
            </w:r>
          </w:p>
          <w:p w:rsidR="001E67C9" w:rsidRPr="00804364" w:rsidRDefault="001E67C9" w:rsidP="00C604CF">
            <w:pPr>
              <w:spacing w:after="120"/>
              <w:jc w:val="both"/>
              <w:rPr>
                <w:sz w:val="22"/>
                <w:szCs w:val="22"/>
              </w:rPr>
            </w:pPr>
            <w:r w:rsidRPr="00804364">
              <w:rPr>
                <w:sz w:val="22"/>
                <w:szCs w:val="22"/>
              </w:rPr>
              <w:t xml:space="preserve">Būvprojektam pievienotajā rasējumā TS-4.1 ir atrodama autobusu pieturas aprīkojuma specifikācija, savukārt caurteka ir atrodama rasējumā TS-4.2. Vienlaikus vēršam Pasūtītāja uzmanību, ka metāla caurteku stiprība nav nosakāma saskaņā ar SN klasēm. SN stiprības klases ir izmantojamas ceļa konstrukcijās iebūvējamo plastmasas cauruļu stiprības noteikšanai. Savukārt metāla caurteku stiprība tiek noteikta, pamatojoties uz </w:t>
            </w:r>
            <w:proofErr w:type="spellStart"/>
            <w:r w:rsidRPr="00804364">
              <w:rPr>
                <w:sz w:val="22"/>
                <w:szCs w:val="22"/>
              </w:rPr>
              <w:t>tēraudi</w:t>
            </w:r>
            <w:proofErr w:type="spellEnd"/>
            <w:r w:rsidRPr="00804364">
              <w:rPr>
                <w:sz w:val="22"/>
                <w:szCs w:val="22"/>
              </w:rPr>
              <w:t xml:space="preserve"> klasi un tērauda biezumu.</w:t>
            </w:r>
          </w:p>
          <w:p w:rsidR="001E67C9" w:rsidRPr="00804364" w:rsidRDefault="001E67C9" w:rsidP="00EE4750">
            <w:pPr>
              <w:spacing w:after="120"/>
              <w:jc w:val="both"/>
              <w:rPr>
                <w:sz w:val="22"/>
                <w:szCs w:val="22"/>
              </w:rPr>
            </w:pPr>
            <w:r w:rsidRPr="00804364">
              <w:rPr>
                <w:sz w:val="22"/>
                <w:szCs w:val="22"/>
              </w:rPr>
              <w:t xml:space="preserve">Ievērojot minēto, lūdzam Pasūtītāju precizēt Tāmes A pozīcijā Nr.2.15 minēto metāla caurteku tērauda klasi, kā arī sienu </w:t>
            </w:r>
            <w:r w:rsidRPr="00804364">
              <w:rPr>
                <w:sz w:val="22"/>
                <w:szCs w:val="22"/>
              </w:rPr>
              <w:lastRenderedPageBreak/>
              <w:t xml:space="preserve">biezumu. </w:t>
            </w:r>
          </w:p>
        </w:tc>
        <w:tc>
          <w:tcPr>
            <w:tcW w:w="4819" w:type="dxa"/>
          </w:tcPr>
          <w:p w:rsidR="001E67C9" w:rsidRPr="00804364" w:rsidRDefault="001E67C9" w:rsidP="00491566">
            <w:pPr>
              <w:spacing w:after="120"/>
              <w:jc w:val="both"/>
              <w:rPr>
                <w:sz w:val="22"/>
                <w:szCs w:val="22"/>
              </w:rPr>
            </w:pPr>
            <w:r w:rsidRPr="00804364">
              <w:rPr>
                <w:sz w:val="22"/>
                <w:szCs w:val="22"/>
              </w:rPr>
              <w:lastRenderedPageBreak/>
              <w:t xml:space="preserve">Tērauda – gofrētas, atbilstošas LVS EN 1090-1, karsti cinkotas, ar polimēru pārklājumu, kura biezums ≥ 250 </w:t>
            </w:r>
            <w:proofErr w:type="spellStart"/>
            <w:r w:rsidRPr="00804364">
              <w:rPr>
                <w:sz w:val="22"/>
                <w:szCs w:val="22"/>
              </w:rPr>
              <w:t>ηm</w:t>
            </w:r>
            <w:proofErr w:type="spellEnd"/>
            <w:r w:rsidRPr="00804364">
              <w:rPr>
                <w:sz w:val="22"/>
                <w:szCs w:val="22"/>
              </w:rPr>
              <w:t>. Visām metāla savienojumu detaļām jābūt karsti cinkotām. Tērauda minimālais biezums 2.5mm.</w:t>
            </w:r>
          </w:p>
          <w:p w:rsidR="001E67C9" w:rsidRPr="00804364" w:rsidRDefault="001E67C9" w:rsidP="00DA275B">
            <w:pPr>
              <w:pStyle w:val="ListParagraph"/>
              <w:ind w:left="0"/>
              <w:jc w:val="both"/>
              <w:rPr>
                <w:sz w:val="22"/>
                <w:szCs w:val="22"/>
              </w:rPr>
            </w:pP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lastRenderedPageBreak/>
              <w:t>4.</w:t>
            </w:r>
          </w:p>
        </w:tc>
        <w:tc>
          <w:tcPr>
            <w:tcW w:w="1059" w:type="dxa"/>
          </w:tcPr>
          <w:p w:rsidR="001E67C9" w:rsidRPr="00804364" w:rsidRDefault="001E67C9" w:rsidP="00DA275B">
            <w:pPr>
              <w:pStyle w:val="ListParagraph"/>
              <w:ind w:left="0"/>
              <w:jc w:val="both"/>
              <w:rPr>
                <w:sz w:val="16"/>
                <w:szCs w:val="16"/>
              </w:rPr>
            </w:pPr>
            <w:r w:rsidRPr="00804364">
              <w:rPr>
                <w:sz w:val="16"/>
                <w:szCs w:val="16"/>
              </w:rPr>
              <w:t>TS</w:t>
            </w:r>
          </w:p>
        </w:tc>
        <w:tc>
          <w:tcPr>
            <w:tcW w:w="4045" w:type="dxa"/>
          </w:tcPr>
          <w:p w:rsidR="001E67C9" w:rsidRPr="00804364" w:rsidRDefault="001E67C9" w:rsidP="00C604CF">
            <w:pPr>
              <w:jc w:val="both"/>
              <w:rPr>
                <w:sz w:val="22"/>
                <w:szCs w:val="22"/>
                <w:u w:val="single"/>
              </w:rPr>
            </w:pPr>
            <w:r w:rsidRPr="00804364">
              <w:rPr>
                <w:sz w:val="22"/>
                <w:szCs w:val="22"/>
                <w:u w:val="single"/>
              </w:rPr>
              <w:t>Par darbu apjomiem un AS “Sadales tīkls” iepirkumu</w:t>
            </w:r>
          </w:p>
          <w:p w:rsidR="001E67C9" w:rsidRPr="00804364" w:rsidRDefault="001E67C9" w:rsidP="00C604CF">
            <w:pPr>
              <w:spacing w:after="120"/>
              <w:jc w:val="both"/>
              <w:rPr>
                <w:sz w:val="22"/>
                <w:szCs w:val="22"/>
              </w:rPr>
            </w:pPr>
            <w:r w:rsidRPr="00804364">
              <w:rPr>
                <w:sz w:val="22"/>
                <w:szCs w:val="22"/>
              </w:rPr>
              <w:t xml:space="preserve">Lūdzam Pasūtītāju apstiprināt, ka pretendentiem, sagatavojot finanšu piedāvājumu Konkursā, nav jāizceno tie darbu apjomi, kas norādīti Konkursa nolikuma pievienotā būvprojekta tāmēs ar norādi “Attiecas uz AS “Sadales tīkls” iepirkumu (neattiecas uz Pretendentu)”. </w:t>
            </w:r>
          </w:p>
          <w:p w:rsidR="001E67C9" w:rsidRPr="00804364" w:rsidRDefault="001E67C9" w:rsidP="00DA275B">
            <w:pPr>
              <w:pStyle w:val="ListParagraph"/>
              <w:ind w:left="0"/>
              <w:jc w:val="both"/>
              <w:rPr>
                <w:sz w:val="22"/>
                <w:szCs w:val="22"/>
              </w:rPr>
            </w:pPr>
          </w:p>
        </w:tc>
        <w:tc>
          <w:tcPr>
            <w:tcW w:w="4819" w:type="dxa"/>
          </w:tcPr>
          <w:p w:rsidR="001E67C9" w:rsidRPr="00804364" w:rsidRDefault="001E67C9" w:rsidP="00DA275B">
            <w:pPr>
              <w:pStyle w:val="ListParagraph"/>
              <w:ind w:left="0"/>
              <w:jc w:val="both"/>
              <w:rPr>
                <w:sz w:val="22"/>
                <w:szCs w:val="22"/>
              </w:rPr>
            </w:pPr>
            <w:r w:rsidRPr="00804364">
              <w:rPr>
                <w:sz w:val="22"/>
                <w:szCs w:val="22"/>
              </w:rPr>
              <w:t>Apstiprinoša atbilde.</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t>5.</w:t>
            </w:r>
          </w:p>
        </w:tc>
        <w:tc>
          <w:tcPr>
            <w:tcW w:w="1059" w:type="dxa"/>
          </w:tcPr>
          <w:p w:rsidR="001E67C9" w:rsidRPr="00804364" w:rsidRDefault="001E67C9" w:rsidP="00DA275B">
            <w:pPr>
              <w:pStyle w:val="ListParagraph"/>
              <w:ind w:left="0"/>
              <w:jc w:val="both"/>
              <w:rPr>
                <w:sz w:val="16"/>
                <w:szCs w:val="16"/>
              </w:rPr>
            </w:pPr>
            <w:r w:rsidRPr="00804364">
              <w:rPr>
                <w:sz w:val="16"/>
                <w:szCs w:val="16"/>
              </w:rPr>
              <w:t>3.3.1. un 4.2.2.</w:t>
            </w:r>
          </w:p>
        </w:tc>
        <w:tc>
          <w:tcPr>
            <w:tcW w:w="4045" w:type="dxa"/>
          </w:tcPr>
          <w:p w:rsidR="001E67C9" w:rsidRPr="00804364" w:rsidRDefault="001E67C9" w:rsidP="00804364">
            <w:pPr>
              <w:jc w:val="both"/>
              <w:rPr>
                <w:sz w:val="22"/>
                <w:szCs w:val="22"/>
              </w:rPr>
            </w:pPr>
            <w:r w:rsidRPr="00804364">
              <w:rPr>
                <w:sz w:val="22"/>
                <w:szCs w:val="22"/>
              </w:rPr>
              <w:t xml:space="preserve">Nolikuma 3.3.1. un 4.2.2. punktā prasīts norādīt Pretendenta vidējo finanšu apgrozījumu par trīs </w:t>
            </w:r>
            <w:proofErr w:type="spellStart"/>
            <w:r w:rsidRPr="00804364">
              <w:rPr>
                <w:sz w:val="22"/>
                <w:szCs w:val="22"/>
              </w:rPr>
              <w:t>iepriekšējajiem</w:t>
            </w:r>
            <w:proofErr w:type="spellEnd"/>
            <w:r w:rsidRPr="00804364">
              <w:rPr>
                <w:sz w:val="22"/>
                <w:szCs w:val="22"/>
              </w:rPr>
              <w:t xml:space="preserve"> gadiem (2014., 2015. un 2016.). </w:t>
            </w:r>
          </w:p>
          <w:p w:rsidR="001E67C9" w:rsidRPr="00804364" w:rsidRDefault="001E67C9" w:rsidP="00F45668">
            <w:pPr>
              <w:ind w:firstLine="360"/>
              <w:jc w:val="both"/>
              <w:rPr>
                <w:sz w:val="22"/>
                <w:szCs w:val="22"/>
              </w:rPr>
            </w:pPr>
            <w:r w:rsidRPr="00804364">
              <w:rPr>
                <w:sz w:val="22"/>
                <w:szCs w:val="22"/>
              </w:rPr>
              <w:t>No Gada pārskatu un konsolidēto gada pārskatu likuma 97. panta 1. punkta: [“Sabiedrība ne vēlāk kā mēnesi pēc gada pārskata un konsolidētā gada pārskata (ja tāds ir) apstiprināšanas un ne vēlāk kā četrus mēnešus pēc pārskata gada beigām, bet vidēja sabiedrība, liela sabiedrība un koncerna mātes sabiedrība, kura sagatavo konsolidēto gada pārskatu, ne vēlāk kā septiņus mēnešus pēc pārskata gada beigām iesniedz Valsts ieņēmumu dienestam..”]</w:t>
            </w:r>
          </w:p>
          <w:p w:rsidR="001E67C9" w:rsidRPr="00804364" w:rsidRDefault="001E67C9" w:rsidP="00F45668">
            <w:pPr>
              <w:ind w:firstLine="360"/>
              <w:jc w:val="both"/>
              <w:rPr>
                <w:sz w:val="22"/>
                <w:szCs w:val="22"/>
              </w:rPr>
            </w:pPr>
            <w:r w:rsidRPr="00804364">
              <w:rPr>
                <w:sz w:val="22"/>
                <w:szCs w:val="22"/>
              </w:rPr>
              <w:t xml:space="preserve">Ņemot vērā likumā </w:t>
            </w:r>
            <w:proofErr w:type="spellStart"/>
            <w:r w:rsidRPr="00804364">
              <w:rPr>
                <w:sz w:val="22"/>
                <w:szCs w:val="22"/>
              </w:rPr>
              <w:t>noteikos</w:t>
            </w:r>
            <w:proofErr w:type="spellEnd"/>
            <w:r w:rsidRPr="00804364">
              <w:rPr>
                <w:sz w:val="22"/>
                <w:szCs w:val="22"/>
              </w:rPr>
              <w:t xml:space="preserve"> termiņus par Gada pārskatu iesniegšanas kārtību un Piedāvājuma iesniegšanas termiņu, lūdzam Pasūtītāju apstiprināt Pretendenta norādīto informāciju par atbilstošu Nolikuma prasībām, iesniedzot Pretendenta finanšu apgrozījumu par 2016. gadu no operatīvajiem datiem.</w:t>
            </w:r>
          </w:p>
          <w:p w:rsidR="001E67C9" w:rsidRPr="00804364" w:rsidRDefault="001E67C9" w:rsidP="00DA275B">
            <w:pPr>
              <w:pStyle w:val="ListParagraph"/>
              <w:ind w:left="0"/>
              <w:jc w:val="both"/>
              <w:rPr>
                <w:sz w:val="22"/>
                <w:szCs w:val="22"/>
              </w:rPr>
            </w:pPr>
          </w:p>
        </w:tc>
        <w:tc>
          <w:tcPr>
            <w:tcW w:w="4819" w:type="dxa"/>
          </w:tcPr>
          <w:p w:rsidR="001E67C9" w:rsidRPr="00804364" w:rsidRDefault="001E67C9" w:rsidP="00DA275B">
            <w:pPr>
              <w:pStyle w:val="ListParagraph"/>
              <w:ind w:left="0"/>
              <w:jc w:val="both"/>
              <w:rPr>
                <w:sz w:val="22"/>
                <w:szCs w:val="22"/>
              </w:rPr>
            </w:pPr>
            <w:r w:rsidRPr="00804364">
              <w:rPr>
                <w:sz w:val="22"/>
                <w:szCs w:val="22"/>
              </w:rPr>
              <w:t xml:space="preserve">Atbilde uz identisku jautājumu jau sniegta 7.martā. </w:t>
            </w:r>
            <w:r w:rsidRPr="00804364">
              <w:rPr>
                <w:sz w:val="22"/>
                <w:szCs w:val="22"/>
              </w:rPr>
              <w:t xml:space="preserve">Pretendents ir tiesīgs </w:t>
            </w:r>
            <w:r w:rsidRPr="00804364">
              <w:rPr>
                <w:bCs/>
                <w:sz w:val="22"/>
                <w:szCs w:val="22"/>
              </w:rPr>
              <w:t>par 2016.gadu iesniegt operatīvos datus.</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t>6.</w:t>
            </w:r>
          </w:p>
        </w:tc>
        <w:tc>
          <w:tcPr>
            <w:tcW w:w="1059" w:type="dxa"/>
          </w:tcPr>
          <w:p w:rsidR="001E67C9" w:rsidRPr="00804364" w:rsidRDefault="005B61B1" w:rsidP="00DA275B">
            <w:pPr>
              <w:pStyle w:val="ListParagraph"/>
              <w:ind w:left="0"/>
              <w:jc w:val="both"/>
              <w:rPr>
                <w:sz w:val="16"/>
                <w:szCs w:val="16"/>
              </w:rPr>
            </w:pPr>
            <w:r>
              <w:rPr>
                <w:sz w:val="16"/>
                <w:szCs w:val="16"/>
              </w:rPr>
              <w:t>3.3.1.</w:t>
            </w:r>
          </w:p>
        </w:tc>
        <w:tc>
          <w:tcPr>
            <w:tcW w:w="4045" w:type="dxa"/>
          </w:tcPr>
          <w:p w:rsidR="001E67C9" w:rsidRPr="00804364" w:rsidRDefault="001E67C9" w:rsidP="005D34F5">
            <w:pPr>
              <w:jc w:val="both"/>
              <w:rPr>
                <w:sz w:val="22"/>
                <w:szCs w:val="22"/>
              </w:rPr>
            </w:pPr>
            <w:r w:rsidRPr="00804364">
              <w:rPr>
                <w:sz w:val="22"/>
                <w:szCs w:val="22"/>
              </w:rPr>
              <w:t xml:space="preserve">Nolikuma 3.3.1. punktā norādīts, ka Pretendenta vidējam finanšu apgrozījumam iepriekšējo trīs gadu periodā (2014., 2015. un 2016.) jābūt </w:t>
            </w:r>
            <w:r w:rsidRPr="00804364">
              <w:rPr>
                <w:sz w:val="22"/>
                <w:szCs w:val="22"/>
                <w:u w:val="single"/>
              </w:rPr>
              <w:t>divas</w:t>
            </w:r>
            <w:r w:rsidRPr="00804364">
              <w:rPr>
                <w:sz w:val="22"/>
                <w:szCs w:val="22"/>
              </w:rPr>
              <w:t xml:space="preserve"> reizes lielākam par Pretendenta piedāvāto līgumcenu (bez PVN), </w:t>
            </w:r>
            <w:proofErr w:type="gramStart"/>
            <w:r w:rsidRPr="00804364">
              <w:rPr>
                <w:sz w:val="22"/>
                <w:szCs w:val="22"/>
              </w:rPr>
              <w:t>bet</w:t>
            </w:r>
            <w:proofErr w:type="gramEnd"/>
            <w:r w:rsidRPr="00804364">
              <w:rPr>
                <w:sz w:val="22"/>
                <w:szCs w:val="22"/>
              </w:rPr>
              <w:t xml:space="preserve"> ja Pretendents savu darbību uzsācis vēlāk, tad katra gada finanšu apgrozījumam ir jābūt </w:t>
            </w:r>
            <w:r w:rsidRPr="00804364">
              <w:rPr>
                <w:sz w:val="22"/>
                <w:szCs w:val="22"/>
                <w:u w:val="single"/>
              </w:rPr>
              <w:t>trīs</w:t>
            </w:r>
            <w:r w:rsidRPr="00804364">
              <w:rPr>
                <w:sz w:val="22"/>
                <w:szCs w:val="22"/>
              </w:rPr>
              <w:t xml:space="preserve"> reizes lielākam par piedāvāto līgumcenu (bez PVN).</w:t>
            </w:r>
          </w:p>
          <w:p w:rsidR="001E67C9" w:rsidRPr="00804364" w:rsidRDefault="001E67C9" w:rsidP="00C00459">
            <w:pPr>
              <w:ind w:firstLine="360"/>
              <w:jc w:val="both"/>
              <w:rPr>
                <w:sz w:val="22"/>
                <w:szCs w:val="22"/>
              </w:rPr>
            </w:pPr>
            <w:r w:rsidRPr="00804364">
              <w:rPr>
                <w:sz w:val="22"/>
                <w:szCs w:val="22"/>
              </w:rPr>
              <w:t>Lūdzam Pasūtītāju precizēt Nolikuma 3.3.1. punktu, nosakot visiem Pretendentiem vienādas prasības, tas ir, nosakot, ka neatkarīgi no Pretendenta darbības uzsākšanas laika, vidējam finanšu apgrozījumam par attiecīgajiem darbības gadiem (2014., 2015. un 2016. gadu vai īsākā periodā)</w:t>
            </w:r>
            <w:proofErr w:type="gramStart"/>
            <w:r w:rsidRPr="00804364">
              <w:rPr>
                <w:sz w:val="22"/>
                <w:szCs w:val="22"/>
              </w:rPr>
              <w:t xml:space="preserve">  </w:t>
            </w:r>
            <w:proofErr w:type="gramEnd"/>
            <w:r w:rsidRPr="00804364">
              <w:rPr>
                <w:sz w:val="22"/>
                <w:szCs w:val="22"/>
              </w:rPr>
              <w:t xml:space="preserve">ir jābūt </w:t>
            </w:r>
            <w:r w:rsidRPr="00804364">
              <w:rPr>
                <w:sz w:val="22"/>
                <w:szCs w:val="22"/>
                <w:u w:val="single"/>
              </w:rPr>
              <w:t>divas</w:t>
            </w:r>
            <w:r w:rsidRPr="00804364">
              <w:rPr>
                <w:sz w:val="22"/>
                <w:szCs w:val="22"/>
              </w:rPr>
              <w:t xml:space="preserve"> reizes </w:t>
            </w:r>
            <w:r w:rsidRPr="00804364">
              <w:rPr>
                <w:sz w:val="22"/>
                <w:szCs w:val="22"/>
              </w:rPr>
              <w:lastRenderedPageBreak/>
              <w:t>lielākam par piedāvāto līgumcenu (bez PVN).</w:t>
            </w:r>
          </w:p>
          <w:p w:rsidR="001E67C9" w:rsidRPr="00804364" w:rsidRDefault="001E67C9" w:rsidP="00C00459">
            <w:pPr>
              <w:ind w:firstLine="360"/>
              <w:jc w:val="both"/>
              <w:rPr>
                <w:sz w:val="22"/>
                <w:szCs w:val="22"/>
              </w:rPr>
            </w:pPr>
          </w:p>
        </w:tc>
        <w:tc>
          <w:tcPr>
            <w:tcW w:w="4819" w:type="dxa"/>
          </w:tcPr>
          <w:p w:rsidR="001E67C9" w:rsidRPr="00804364" w:rsidRDefault="001E67C9" w:rsidP="00610100">
            <w:pPr>
              <w:pStyle w:val="ListParagraph"/>
              <w:ind w:left="0"/>
              <w:jc w:val="both"/>
              <w:rPr>
                <w:sz w:val="22"/>
                <w:szCs w:val="22"/>
              </w:rPr>
            </w:pPr>
            <w:r w:rsidRPr="00804364">
              <w:rPr>
                <w:sz w:val="22"/>
                <w:szCs w:val="22"/>
              </w:rPr>
              <w:lastRenderedPageBreak/>
              <w:t>Nolikuma 3.3.1.punkta prasības formulējumā ieviesusies neprecizitāte. Prasība par apgrozījumu viennozīmīgi ir attiecināma uz visiem pretendentiem vienādi, attiecīgi – arī pr</w:t>
            </w:r>
            <w:r w:rsidRPr="00804364">
              <w:rPr>
                <w:sz w:val="22"/>
                <w:szCs w:val="22"/>
              </w:rPr>
              <w:t>etendentiem, kas savu darbību tirgū (datums, kad reģistrēts komersants) uzsākuši vēlāk, katra gada vidēja</w:t>
            </w:r>
            <w:r w:rsidRPr="00804364">
              <w:rPr>
                <w:sz w:val="22"/>
                <w:szCs w:val="22"/>
              </w:rPr>
              <w:t>m</w:t>
            </w:r>
            <w:r w:rsidRPr="00804364">
              <w:rPr>
                <w:sz w:val="22"/>
                <w:szCs w:val="22"/>
              </w:rPr>
              <w:t xml:space="preserve"> finanšu apgrozījum</w:t>
            </w:r>
            <w:r w:rsidRPr="00804364">
              <w:rPr>
                <w:sz w:val="22"/>
                <w:szCs w:val="22"/>
              </w:rPr>
              <w:t>am</w:t>
            </w:r>
            <w:r w:rsidRPr="00804364">
              <w:rPr>
                <w:sz w:val="22"/>
                <w:szCs w:val="22"/>
              </w:rPr>
              <w:t xml:space="preserve"> būvniecībā nostrādātajā periodā </w:t>
            </w:r>
            <w:r w:rsidRPr="00804364">
              <w:rPr>
                <w:sz w:val="22"/>
                <w:szCs w:val="22"/>
              </w:rPr>
              <w:t>jābūt vismaz divas reizes lielākam par</w:t>
            </w:r>
            <w:r w:rsidRPr="00804364">
              <w:rPr>
                <w:sz w:val="22"/>
                <w:szCs w:val="22"/>
              </w:rPr>
              <w:t xml:space="preserve"> piedāvāto līgumcenu (bez PVN). </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lastRenderedPageBreak/>
              <w:t>7.</w:t>
            </w:r>
          </w:p>
        </w:tc>
        <w:tc>
          <w:tcPr>
            <w:tcW w:w="1059" w:type="dxa"/>
          </w:tcPr>
          <w:p w:rsidR="001E67C9" w:rsidRPr="00804364" w:rsidRDefault="001E67C9" w:rsidP="00DA275B">
            <w:pPr>
              <w:pStyle w:val="ListParagraph"/>
              <w:ind w:left="0"/>
              <w:jc w:val="both"/>
              <w:rPr>
                <w:sz w:val="16"/>
                <w:szCs w:val="16"/>
              </w:rPr>
            </w:pPr>
            <w:r w:rsidRPr="00804364">
              <w:rPr>
                <w:sz w:val="16"/>
                <w:szCs w:val="16"/>
              </w:rPr>
              <w:t>5.3.</w:t>
            </w:r>
          </w:p>
        </w:tc>
        <w:tc>
          <w:tcPr>
            <w:tcW w:w="4045" w:type="dxa"/>
          </w:tcPr>
          <w:p w:rsidR="001E67C9" w:rsidRPr="00804364" w:rsidRDefault="001E67C9" w:rsidP="00C00459">
            <w:pPr>
              <w:jc w:val="both"/>
              <w:rPr>
                <w:sz w:val="22"/>
                <w:szCs w:val="22"/>
              </w:rPr>
            </w:pPr>
            <w:r w:rsidRPr="00804364">
              <w:rPr>
                <w:sz w:val="22"/>
                <w:szCs w:val="22"/>
              </w:rPr>
              <w:t xml:space="preserve">Nolikuma 5.3. punktā norādītajā kritērijā nr. </w:t>
            </w:r>
            <w:r w:rsidRPr="00804364">
              <w:rPr>
                <w:b/>
                <w:sz w:val="22"/>
                <w:szCs w:val="22"/>
              </w:rPr>
              <w:t>C</w:t>
            </w:r>
            <w:r w:rsidRPr="00804364">
              <w:rPr>
                <w:sz w:val="22"/>
                <w:szCs w:val="22"/>
              </w:rPr>
              <w:t xml:space="preserve">, </w:t>
            </w:r>
            <w:proofErr w:type="gramStart"/>
            <w:r w:rsidRPr="00804364">
              <w:rPr>
                <w:sz w:val="22"/>
                <w:szCs w:val="22"/>
              </w:rPr>
              <w:t>noteikts 70 punkti</w:t>
            </w:r>
            <w:proofErr w:type="gramEnd"/>
            <w:r w:rsidRPr="00804364">
              <w:rPr>
                <w:sz w:val="22"/>
                <w:szCs w:val="22"/>
              </w:rPr>
              <w:t xml:space="preserve"> par Pretendenta piedāvāto cenu, bet zem kritēriju tabulas esošajā skaidrojumā cenas kritērijs ir norādīts nr. </w:t>
            </w:r>
            <w:r w:rsidRPr="00804364">
              <w:rPr>
                <w:b/>
                <w:sz w:val="22"/>
                <w:szCs w:val="22"/>
              </w:rPr>
              <w:t>G</w:t>
            </w:r>
            <w:r w:rsidRPr="00804364">
              <w:rPr>
                <w:sz w:val="22"/>
                <w:szCs w:val="22"/>
              </w:rPr>
              <w:t>, kur maksimālais punktu skaits ir 40.</w:t>
            </w:r>
          </w:p>
          <w:p w:rsidR="001E67C9" w:rsidRPr="00804364" w:rsidRDefault="001E67C9" w:rsidP="00C00459">
            <w:pPr>
              <w:jc w:val="both"/>
              <w:rPr>
                <w:sz w:val="22"/>
                <w:szCs w:val="22"/>
              </w:rPr>
            </w:pPr>
            <w:r w:rsidRPr="00804364">
              <w:rPr>
                <w:sz w:val="22"/>
                <w:szCs w:val="22"/>
              </w:rPr>
              <w:t>Lūdzam Pasūtītāju precizēt iegūstamo punktu skaitu par Pretendenta norādīto līgumcenu bez PVN.</w:t>
            </w:r>
          </w:p>
          <w:p w:rsidR="001E67C9" w:rsidRPr="00804364" w:rsidRDefault="001E67C9" w:rsidP="00DA275B">
            <w:pPr>
              <w:pStyle w:val="ListParagraph"/>
              <w:ind w:left="0"/>
              <w:jc w:val="both"/>
              <w:rPr>
                <w:sz w:val="22"/>
                <w:szCs w:val="22"/>
              </w:rPr>
            </w:pPr>
          </w:p>
        </w:tc>
        <w:tc>
          <w:tcPr>
            <w:tcW w:w="4819" w:type="dxa"/>
          </w:tcPr>
          <w:p w:rsidR="001E67C9" w:rsidRPr="00804364" w:rsidRDefault="001E67C9" w:rsidP="00AD7780">
            <w:pPr>
              <w:pStyle w:val="Punkts"/>
              <w:numPr>
                <w:ilvl w:val="0"/>
                <w:numId w:val="0"/>
              </w:numPr>
              <w:tabs>
                <w:tab w:val="left" w:pos="4289"/>
              </w:tabs>
              <w:ind w:right="-108"/>
              <w:jc w:val="both"/>
              <w:rPr>
                <w:rFonts w:ascii="Times New Roman" w:hAnsi="Times New Roman"/>
                <w:b w:val="0"/>
                <w:sz w:val="22"/>
                <w:szCs w:val="22"/>
              </w:rPr>
            </w:pPr>
            <w:r w:rsidRPr="00804364">
              <w:rPr>
                <w:rFonts w:ascii="Times New Roman" w:hAnsi="Times New Roman"/>
                <w:b w:val="0"/>
                <w:sz w:val="22"/>
                <w:szCs w:val="22"/>
              </w:rPr>
              <w:t>Nolikuma 5.3. punktā</w:t>
            </w:r>
            <w:r w:rsidRPr="00804364">
              <w:rPr>
                <w:rFonts w:ascii="Times New Roman" w:hAnsi="Times New Roman"/>
                <w:b w:val="0"/>
                <w:sz w:val="22"/>
                <w:szCs w:val="22"/>
              </w:rPr>
              <w:t xml:space="preserve"> iekļautajā tabulā norādītie kritēriji un to īpatsvars (punktos) vērtēšanā ir noteikts korekti, tostarp kritērijā “Cena bez PVN” maksimāli iegūstamais punktu skaits ir 70. </w:t>
            </w:r>
            <w:r w:rsidRPr="00804364">
              <w:rPr>
                <w:rFonts w:ascii="Times New Roman" w:hAnsi="Times New Roman"/>
                <w:b w:val="0"/>
                <w:bCs/>
                <w:sz w:val="22"/>
                <w:szCs w:val="22"/>
              </w:rPr>
              <w:t>Pretendenta iegūtais punktu skaits, kas iegūts sadaļā “</w:t>
            </w:r>
            <w:r w:rsidRPr="00804364">
              <w:rPr>
                <w:rFonts w:ascii="Times New Roman" w:hAnsi="Times New Roman"/>
                <w:b w:val="0"/>
                <w:bCs/>
                <w:sz w:val="22"/>
                <w:szCs w:val="22"/>
              </w:rPr>
              <w:t>C</w:t>
            </w:r>
            <w:r w:rsidRPr="00804364">
              <w:rPr>
                <w:rFonts w:ascii="Times New Roman" w:hAnsi="Times New Roman"/>
                <w:b w:val="0"/>
                <w:bCs/>
                <w:sz w:val="22"/>
                <w:szCs w:val="22"/>
              </w:rPr>
              <w:t xml:space="preserve">”, </w:t>
            </w:r>
            <w:r w:rsidRPr="00804364">
              <w:rPr>
                <w:rFonts w:ascii="Times New Roman" w:hAnsi="Times New Roman"/>
                <w:b w:val="0"/>
                <w:bCs/>
                <w:sz w:val="22"/>
                <w:szCs w:val="22"/>
              </w:rPr>
              <w:t xml:space="preserve">tiks </w:t>
            </w:r>
            <w:r w:rsidRPr="00804364">
              <w:rPr>
                <w:rFonts w:ascii="Times New Roman" w:hAnsi="Times New Roman"/>
                <w:b w:val="0"/>
                <w:bCs/>
                <w:sz w:val="22"/>
                <w:szCs w:val="22"/>
              </w:rPr>
              <w:t xml:space="preserve">aprēķināts atbilstoši formulai: </w:t>
            </w:r>
            <w:r w:rsidRPr="00804364">
              <w:rPr>
                <w:rFonts w:ascii="Times New Roman" w:hAnsi="Times New Roman"/>
                <w:b w:val="0"/>
                <w:sz w:val="22"/>
                <w:szCs w:val="22"/>
              </w:rPr>
              <w:t xml:space="preserve">Viszemākā piedāvājuma cena ÷ Vērtējamā piedāvājuma cena x </w:t>
            </w:r>
            <w:r w:rsidRPr="00804364">
              <w:rPr>
                <w:rFonts w:ascii="Times New Roman" w:hAnsi="Times New Roman"/>
                <w:b w:val="0"/>
                <w:sz w:val="22"/>
                <w:szCs w:val="22"/>
              </w:rPr>
              <w:t>7</w:t>
            </w:r>
            <w:r w:rsidRPr="00804364">
              <w:rPr>
                <w:rFonts w:ascii="Times New Roman" w:hAnsi="Times New Roman"/>
                <w:b w:val="0"/>
                <w:sz w:val="22"/>
                <w:szCs w:val="22"/>
              </w:rPr>
              <w:t>0</w:t>
            </w:r>
          </w:p>
          <w:p w:rsidR="001E67C9" w:rsidRPr="00804364" w:rsidRDefault="001E67C9" w:rsidP="00AD7780">
            <w:pPr>
              <w:pStyle w:val="ListParagraph"/>
              <w:tabs>
                <w:tab w:val="left" w:pos="4289"/>
              </w:tabs>
              <w:ind w:left="6" w:right="-108"/>
              <w:contextualSpacing w:val="0"/>
              <w:jc w:val="both"/>
              <w:rPr>
                <w:sz w:val="22"/>
                <w:szCs w:val="22"/>
              </w:rPr>
            </w:pPr>
          </w:p>
        </w:tc>
      </w:tr>
      <w:tr w:rsidR="001E67C9" w:rsidRPr="00804364" w:rsidTr="0038516D">
        <w:trPr>
          <w:jc w:val="center"/>
        </w:trPr>
        <w:tc>
          <w:tcPr>
            <w:tcW w:w="567" w:type="dxa"/>
          </w:tcPr>
          <w:p w:rsidR="001E67C9" w:rsidRPr="00804364" w:rsidRDefault="00804364" w:rsidP="00480122">
            <w:pPr>
              <w:pStyle w:val="ListParagraph"/>
              <w:ind w:left="0"/>
              <w:jc w:val="both"/>
              <w:rPr>
                <w:sz w:val="22"/>
                <w:szCs w:val="22"/>
              </w:rPr>
            </w:pPr>
            <w:r w:rsidRPr="00804364">
              <w:rPr>
                <w:sz w:val="22"/>
                <w:szCs w:val="22"/>
              </w:rPr>
              <w:t>8.</w:t>
            </w:r>
          </w:p>
        </w:tc>
        <w:tc>
          <w:tcPr>
            <w:tcW w:w="1059" w:type="dxa"/>
          </w:tcPr>
          <w:p w:rsidR="001E67C9" w:rsidRPr="00804364" w:rsidRDefault="001E67C9" w:rsidP="00480122">
            <w:pPr>
              <w:pStyle w:val="ListParagraph"/>
              <w:ind w:left="0"/>
              <w:jc w:val="both"/>
              <w:rPr>
                <w:sz w:val="16"/>
                <w:szCs w:val="16"/>
              </w:rPr>
            </w:pPr>
            <w:r w:rsidRPr="00804364">
              <w:rPr>
                <w:sz w:val="16"/>
                <w:szCs w:val="16"/>
              </w:rPr>
              <w:t>2.pielikums</w:t>
            </w:r>
          </w:p>
        </w:tc>
        <w:tc>
          <w:tcPr>
            <w:tcW w:w="4045" w:type="dxa"/>
          </w:tcPr>
          <w:p w:rsidR="001E67C9" w:rsidRPr="00804364" w:rsidRDefault="001E67C9" w:rsidP="00C00459">
            <w:pPr>
              <w:jc w:val="both"/>
              <w:rPr>
                <w:sz w:val="22"/>
                <w:szCs w:val="22"/>
              </w:rPr>
            </w:pPr>
            <w:r w:rsidRPr="00804364">
              <w:rPr>
                <w:sz w:val="22"/>
                <w:szCs w:val="22"/>
              </w:rPr>
              <w:t>Nolikuma 2. pielikuma 4. punktā norādīts, ka Pretendents apņemas izpildīt visus šī līguma pamatnosacījumus saskaņā ar nolikuma 6. pielikumu.</w:t>
            </w:r>
          </w:p>
          <w:p w:rsidR="001E67C9" w:rsidRPr="00804364" w:rsidRDefault="001E67C9" w:rsidP="00C00459">
            <w:pPr>
              <w:jc w:val="both"/>
              <w:rPr>
                <w:sz w:val="22"/>
                <w:szCs w:val="22"/>
              </w:rPr>
            </w:pPr>
            <w:r w:rsidRPr="00804364">
              <w:rPr>
                <w:sz w:val="22"/>
                <w:szCs w:val="22"/>
              </w:rPr>
              <w:t>Lūdzam Pasūtītāju precizēt šo punktu, jo Nolikuma dokumentācijā šāda pielikuma nav.</w:t>
            </w:r>
          </w:p>
        </w:tc>
        <w:tc>
          <w:tcPr>
            <w:tcW w:w="4819" w:type="dxa"/>
          </w:tcPr>
          <w:p w:rsidR="001E67C9" w:rsidRPr="00804364" w:rsidRDefault="001E67C9" w:rsidP="002D1069">
            <w:pPr>
              <w:jc w:val="both"/>
              <w:rPr>
                <w:sz w:val="22"/>
                <w:szCs w:val="22"/>
              </w:rPr>
            </w:pPr>
            <w:r w:rsidRPr="00804364">
              <w:rPr>
                <w:sz w:val="22"/>
                <w:szCs w:val="22"/>
              </w:rPr>
              <w:t>Nol</w:t>
            </w:r>
            <w:r w:rsidRPr="00804364">
              <w:rPr>
                <w:sz w:val="22"/>
                <w:szCs w:val="22"/>
              </w:rPr>
              <w:t>ikuma 2. pielikuma 4.punktā ietverta skaidra norāde uz līguma projektu, bet minēts kļūdains pielikuma numurs (līguma projekts atrodas 5.pielikumā). Pasūtītāja ieskatā attiecīgā kļūda ir nebūtiska un nerada grūtības pretendentiem piedāvājumu sagatavošanā.</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sidRPr="00804364">
              <w:rPr>
                <w:sz w:val="22"/>
                <w:szCs w:val="22"/>
              </w:rPr>
              <w:t>9.</w:t>
            </w:r>
          </w:p>
        </w:tc>
        <w:tc>
          <w:tcPr>
            <w:tcW w:w="1059" w:type="dxa"/>
          </w:tcPr>
          <w:p w:rsidR="001E67C9" w:rsidRPr="00804364" w:rsidRDefault="001E67C9" w:rsidP="00DA275B">
            <w:pPr>
              <w:pStyle w:val="ListParagraph"/>
              <w:ind w:left="0"/>
              <w:jc w:val="both"/>
              <w:rPr>
                <w:sz w:val="16"/>
                <w:szCs w:val="16"/>
              </w:rPr>
            </w:pPr>
            <w:r w:rsidRPr="00804364">
              <w:rPr>
                <w:sz w:val="16"/>
                <w:szCs w:val="16"/>
              </w:rPr>
              <w:t>4.pielikums</w:t>
            </w:r>
          </w:p>
        </w:tc>
        <w:tc>
          <w:tcPr>
            <w:tcW w:w="4045" w:type="dxa"/>
          </w:tcPr>
          <w:p w:rsidR="001E67C9" w:rsidRPr="00804364" w:rsidRDefault="001E67C9" w:rsidP="00DA275B">
            <w:pPr>
              <w:pStyle w:val="ListParagraph"/>
              <w:ind w:left="0"/>
              <w:jc w:val="both"/>
              <w:rPr>
                <w:sz w:val="22"/>
                <w:szCs w:val="22"/>
              </w:rPr>
            </w:pPr>
            <w:r w:rsidRPr="00804364">
              <w:rPr>
                <w:sz w:val="22"/>
                <w:szCs w:val="22"/>
              </w:rPr>
              <w:t xml:space="preserve">Nolikuma 4. Pielikuma 11. punktā Pretendentam nepieciešams iesniegt Galveno izmantojamo materiālu sarakstu. Lūdzam Pasūtītāju skaidrot, kādi materiāli šī iepirkuma ietvaros ir uzskatāmi par </w:t>
            </w:r>
            <w:r w:rsidRPr="00804364">
              <w:rPr>
                <w:sz w:val="22"/>
                <w:szCs w:val="22"/>
                <w:u w:val="single"/>
              </w:rPr>
              <w:t>galvenajiem</w:t>
            </w:r>
            <w:r w:rsidRPr="00804364">
              <w:rPr>
                <w:sz w:val="22"/>
                <w:szCs w:val="22"/>
              </w:rPr>
              <w:t xml:space="preserve"> materiāliem, kuri jānorāda minētajā sarakstā.</w:t>
            </w:r>
          </w:p>
        </w:tc>
        <w:tc>
          <w:tcPr>
            <w:tcW w:w="4819" w:type="dxa"/>
          </w:tcPr>
          <w:p w:rsidR="001E67C9" w:rsidRPr="00804364" w:rsidRDefault="00804364" w:rsidP="00DA275B">
            <w:pPr>
              <w:pStyle w:val="ListParagraph"/>
              <w:ind w:left="0"/>
              <w:jc w:val="both"/>
              <w:rPr>
                <w:sz w:val="22"/>
                <w:szCs w:val="22"/>
              </w:rPr>
            </w:pPr>
            <w:r w:rsidRPr="00804364">
              <w:rPr>
                <w:sz w:val="22"/>
                <w:szCs w:val="22"/>
              </w:rPr>
              <w:t>Skatīt 17.punktu.</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Pr>
                <w:sz w:val="22"/>
                <w:szCs w:val="22"/>
              </w:rPr>
              <w:t>10.</w:t>
            </w:r>
          </w:p>
        </w:tc>
        <w:tc>
          <w:tcPr>
            <w:tcW w:w="1059" w:type="dxa"/>
          </w:tcPr>
          <w:p w:rsidR="001E67C9" w:rsidRPr="00804364" w:rsidRDefault="001E67C9" w:rsidP="00DA275B">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DA275B">
            <w:pPr>
              <w:pStyle w:val="ListParagraph"/>
              <w:ind w:left="0"/>
              <w:jc w:val="both"/>
              <w:rPr>
                <w:sz w:val="22"/>
                <w:szCs w:val="22"/>
              </w:rPr>
            </w:pPr>
            <w:r w:rsidRPr="00804364">
              <w:rPr>
                <w:sz w:val="22"/>
                <w:szCs w:val="22"/>
              </w:rPr>
              <w:t>Pēc 2017. gada 14. februāra sēdē apstiprinātajiem Nolikuma grozījumiem, Pretendentam nav Piedāvājumā jānorāda elektronisko sakaru sistēmu un tīklu sistēmu būvdarbu vadītājs, līdz ar to, lūdzam Pasūtītāju svītrot no Līgumu Projekta 1.9. punkta minēto speciālistu.</w:t>
            </w:r>
          </w:p>
        </w:tc>
        <w:tc>
          <w:tcPr>
            <w:tcW w:w="4819" w:type="dxa"/>
          </w:tcPr>
          <w:p w:rsidR="001E67C9" w:rsidRPr="00804364" w:rsidRDefault="001E67C9" w:rsidP="00E74F81">
            <w:pPr>
              <w:pStyle w:val="ListParagraph"/>
              <w:ind w:left="0"/>
              <w:jc w:val="both"/>
              <w:rPr>
                <w:sz w:val="22"/>
                <w:szCs w:val="22"/>
              </w:rPr>
            </w:pPr>
            <w:r w:rsidRPr="00804364">
              <w:rPr>
                <w:sz w:val="22"/>
                <w:szCs w:val="22"/>
              </w:rPr>
              <w:t xml:space="preserve">Līguma projekta 1.9.punkts nosaka, ka vadošie būvdarbu vadītāji ir </w:t>
            </w:r>
            <w:r w:rsidRPr="00804364">
              <w:rPr>
                <w:sz w:val="22"/>
                <w:szCs w:val="22"/>
              </w:rPr>
              <w:t xml:space="preserve">Pasūtītāja apstiprināti </w:t>
            </w:r>
            <w:r w:rsidRPr="00804364">
              <w:rPr>
                <w:sz w:val="22"/>
                <w:szCs w:val="22"/>
              </w:rPr>
              <w:t xml:space="preserve">(Pretendenta) </w:t>
            </w:r>
            <w:r w:rsidRPr="00804364">
              <w:rPr>
                <w:sz w:val="22"/>
                <w:szCs w:val="22"/>
              </w:rPr>
              <w:t>Piedāvājumā norādītie būvdarbu jomās sertificēti būvdarbu vadītāji</w:t>
            </w:r>
            <w:r w:rsidRPr="00804364">
              <w:rPr>
                <w:sz w:val="22"/>
                <w:szCs w:val="22"/>
              </w:rPr>
              <w:t>. Attiecīgi, ja Pretendents atbilstoši nolikumā paredzētajam nebūs piedāvājis e</w:t>
            </w:r>
            <w:r w:rsidRPr="00804364">
              <w:rPr>
                <w:sz w:val="22"/>
                <w:szCs w:val="22"/>
              </w:rPr>
              <w:t>lektronisko sakaru sistēmu un</w:t>
            </w:r>
            <w:r w:rsidRPr="00804364">
              <w:rPr>
                <w:sz w:val="22"/>
                <w:szCs w:val="22"/>
              </w:rPr>
              <w:t xml:space="preserve"> tīklu sistēmu būvdarbu vadītāju, tad šāds speciālists arī nebūs vadošais būvdarbu vadītājs līguma projekta 1.9.punkta izpratnē. Speciālistu uzskaitījums nepieciešamības gadījumā tiks precizēts pirms līguma noslēgšanas līguma projekta saskaņošanas procesā ar iepirkumā noteikto uzvarētāju. </w:t>
            </w:r>
            <w:r w:rsidRPr="00804364">
              <w:rPr>
                <w:sz w:val="22"/>
                <w:szCs w:val="22"/>
              </w:rPr>
              <w:t>Pasūtītāja ieskatā attiecīgā kļūda</w:t>
            </w:r>
            <w:r w:rsidRPr="00804364">
              <w:rPr>
                <w:sz w:val="22"/>
                <w:szCs w:val="22"/>
              </w:rPr>
              <w:t xml:space="preserve"> uzskaitījumā</w:t>
            </w:r>
            <w:r w:rsidRPr="00804364">
              <w:rPr>
                <w:sz w:val="22"/>
                <w:szCs w:val="22"/>
              </w:rPr>
              <w:t xml:space="preserve"> ir nebūtiska un </w:t>
            </w:r>
            <w:r w:rsidRPr="00804364">
              <w:rPr>
                <w:sz w:val="22"/>
                <w:szCs w:val="22"/>
              </w:rPr>
              <w:t>neietekmē</w:t>
            </w:r>
            <w:r w:rsidRPr="00804364">
              <w:rPr>
                <w:sz w:val="22"/>
                <w:szCs w:val="22"/>
              </w:rPr>
              <w:t xml:space="preserve"> piedāvājumu sagatavošan</w:t>
            </w:r>
            <w:r w:rsidRPr="00804364">
              <w:rPr>
                <w:sz w:val="22"/>
                <w:szCs w:val="22"/>
              </w:rPr>
              <w:t>as procesu</w:t>
            </w:r>
            <w:r w:rsidRPr="00804364">
              <w:rPr>
                <w:sz w:val="22"/>
                <w:szCs w:val="22"/>
              </w:rPr>
              <w:t>.</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Pr>
                <w:sz w:val="22"/>
                <w:szCs w:val="22"/>
              </w:rPr>
              <w:t>11.</w:t>
            </w:r>
          </w:p>
        </w:tc>
        <w:tc>
          <w:tcPr>
            <w:tcW w:w="1059" w:type="dxa"/>
          </w:tcPr>
          <w:p w:rsidR="001E67C9" w:rsidRPr="00804364" w:rsidRDefault="005B61B1" w:rsidP="00DA275B">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DF2682">
            <w:pPr>
              <w:jc w:val="both"/>
              <w:rPr>
                <w:sz w:val="22"/>
                <w:szCs w:val="22"/>
              </w:rPr>
            </w:pPr>
            <w:r w:rsidRPr="00804364">
              <w:rPr>
                <w:sz w:val="22"/>
                <w:szCs w:val="22"/>
              </w:rPr>
              <w:t>Pie Līguma priekšmeta 2.1. punktā nosauktas ielas un ceļi, uz kuriem paredzēts veikt būvdarbus. Vēršam Pasūtītāja uzmanību, ka 3. daļas ietvaros nepieciešams veikt būvdarbus Rīgas gatvē, līdz ar to lūdzam Pasūtītāju precizēt 2.1. punktu ietverot arī Rīgas gatvi.</w:t>
            </w:r>
          </w:p>
        </w:tc>
        <w:tc>
          <w:tcPr>
            <w:tcW w:w="4819" w:type="dxa"/>
          </w:tcPr>
          <w:p w:rsidR="001E67C9" w:rsidRPr="00804364" w:rsidRDefault="001E67C9" w:rsidP="00B65AED">
            <w:pPr>
              <w:pStyle w:val="ListParagraph"/>
              <w:ind w:left="0"/>
              <w:jc w:val="both"/>
              <w:rPr>
                <w:sz w:val="22"/>
                <w:szCs w:val="22"/>
              </w:rPr>
            </w:pPr>
            <w:r w:rsidRPr="00804364">
              <w:rPr>
                <w:sz w:val="22"/>
                <w:szCs w:val="22"/>
              </w:rPr>
              <w:t>Līguma priekšmeta 2.1. punkta uzskaitījums nav galējs, tajā nosaukta daļa no izbūves elementiem, lai identificētu būvdarbus. Jebkurā gadījumā līguma priekšmets nav vērtējams atrauti no pārējā līguma teksta un bez kontekstuālas sasaistes ar tā pielikumiem (tostarp arī pašu pretendenta piedāvājumu un iepirkuma dokumentāciju).</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Pr>
                <w:sz w:val="22"/>
                <w:szCs w:val="22"/>
              </w:rPr>
              <w:t>12.</w:t>
            </w:r>
          </w:p>
        </w:tc>
        <w:tc>
          <w:tcPr>
            <w:tcW w:w="1059" w:type="dxa"/>
          </w:tcPr>
          <w:p w:rsidR="001E67C9" w:rsidRPr="00804364" w:rsidRDefault="005B61B1" w:rsidP="00DA275B">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DF2682">
            <w:pPr>
              <w:jc w:val="both"/>
              <w:rPr>
                <w:sz w:val="22"/>
                <w:szCs w:val="22"/>
              </w:rPr>
            </w:pPr>
            <w:r w:rsidRPr="00804364">
              <w:rPr>
                <w:sz w:val="22"/>
                <w:szCs w:val="22"/>
              </w:rPr>
              <w:t>Punktā Nr. 6.1.1. dota atsauce uz punktu 7.1.4.2. – šāda punkta Nolikumā ietvertajā Līguma projektā nav. Lūdzam Pasūtītāju precizēt 6.1.1. punktu.</w:t>
            </w:r>
          </w:p>
        </w:tc>
        <w:tc>
          <w:tcPr>
            <w:tcW w:w="4819" w:type="dxa"/>
          </w:tcPr>
          <w:p w:rsidR="001E67C9" w:rsidRPr="00804364" w:rsidRDefault="001E67C9" w:rsidP="00A3189F">
            <w:pPr>
              <w:pStyle w:val="ListParagraph"/>
              <w:ind w:left="0"/>
              <w:jc w:val="both"/>
              <w:rPr>
                <w:sz w:val="22"/>
                <w:szCs w:val="22"/>
              </w:rPr>
            </w:pPr>
            <w:r w:rsidRPr="00804364">
              <w:rPr>
                <w:sz w:val="22"/>
                <w:szCs w:val="22"/>
              </w:rPr>
              <w:t>6.1.1.punktā iekļautā atsauce</w:t>
            </w:r>
            <w:r w:rsidRPr="00804364">
              <w:rPr>
                <w:sz w:val="22"/>
                <w:szCs w:val="22"/>
              </w:rPr>
              <w:t xml:space="preserve"> </w:t>
            </w:r>
            <w:r w:rsidRPr="00804364">
              <w:rPr>
                <w:sz w:val="22"/>
                <w:szCs w:val="22"/>
              </w:rPr>
              <w:t>nepieciešamības gadījumā tiks precizēt</w:t>
            </w:r>
            <w:r w:rsidRPr="00804364">
              <w:rPr>
                <w:sz w:val="22"/>
                <w:szCs w:val="22"/>
              </w:rPr>
              <w:t>a</w:t>
            </w:r>
            <w:r w:rsidRPr="00804364">
              <w:rPr>
                <w:sz w:val="22"/>
                <w:szCs w:val="22"/>
              </w:rPr>
              <w:t xml:space="preserve"> pirms līguma noslēgšanas līguma projekta saskaņošanas procesā ar iepirkumā noteikto uzvarētāju</w:t>
            </w:r>
            <w:r w:rsidRPr="00804364">
              <w:rPr>
                <w:sz w:val="22"/>
                <w:szCs w:val="22"/>
              </w:rPr>
              <w:t xml:space="preserve">, </w:t>
            </w:r>
            <w:r w:rsidRPr="00804364">
              <w:rPr>
                <w:sz w:val="22"/>
                <w:szCs w:val="22"/>
              </w:rPr>
              <w:t xml:space="preserve">iekļaujot norādi uz 7.1.5.2.punktu. Pasūtītāja ieskatā attiecīgā </w:t>
            </w:r>
            <w:r w:rsidRPr="00804364">
              <w:rPr>
                <w:sz w:val="22"/>
                <w:szCs w:val="22"/>
              </w:rPr>
              <w:t>neprecizitāte</w:t>
            </w:r>
            <w:r w:rsidRPr="00804364">
              <w:rPr>
                <w:sz w:val="22"/>
                <w:szCs w:val="22"/>
              </w:rPr>
              <w:t xml:space="preserve"> ir nebūtiska un neietekmē </w:t>
            </w:r>
            <w:r w:rsidRPr="00804364">
              <w:rPr>
                <w:sz w:val="22"/>
                <w:szCs w:val="22"/>
              </w:rPr>
              <w:lastRenderedPageBreak/>
              <w:t>piedāvājumu sagatavošanas procesu.</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Pr>
                <w:sz w:val="22"/>
                <w:szCs w:val="22"/>
              </w:rPr>
              <w:lastRenderedPageBreak/>
              <w:t>13.</w:t>
            </w:r>
          </w:p>
        </w:tc>
        <w:tc>
          <w:tcPr>
            <w:tcW w:w="1059" w:type="dxa"/>
          </w:tcPr>
          <w:p w:rsidR="001E67C9" w:rsidRPr="00804364" w:rsidRDefault="005B61B1" w:rsidP="00DA275B">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DF2682">
            <w:pPr>
              <w:jc w:val="both"/>
              <w:rPr>
                <w:sz w:val="22"/>
                <w:szCs w:val="22"/>
              </w:rPr>
            </w:pPr>
            <w:r w:rsidRPr="00804364">
              <w:rPr>
                <w:sz w:val="22"/>
                <w:szCs w:val="22"/>
              </w:rPr>
              <w:t>Sadaļā par Garantijām punktā 11.1. noteikts, ka garantijai par līgumsaistību izpildi ir jābūt derīgai ne mazāk kā 30 (trīsdesmit) dienas pēc 5.5. punktā noteiktā termiņa. 5.5. punktā tiek noteikti tikai apstākļi, kuru rezultātā Būvuzņēmējs var saņemt izpildes termiņa pagarinājumu.</w:t>
            </w:r>
          </w:p>
          <w:p w:rsidR="001E67C9" w:rsidRPr="00804364" w:rsidRDefault="001E67C9" w:rsidP="00DF2682">
            <w:pPr>
              <w:jc w:val="both"/>
              <w:rPr>
                <w:sz w:val="22"/>
                <w:szCs w:val="22"/>
              </w:rPr>
            </w:pPr>
            <w:r w:rsidRPr="00804364">
              <w:rPr>
                <w:sz w:val="22"/>
                <w:szCs w:val="22"/>
              </w:rPr>
              <w:t>Lūdzam Pasūtītāju precizēt, uz kādu punktu jāatsaucas 11.1. punktā par garantijas derīguma termiņu.</w:t>
            </w:r>
          </w:p>
        </w:tc>
        <w:tc>
          <w:tcPr>
            <w:tcW w:w="4819" w:type="dxa"/>
          </w:tcPr>
          <w:p w:rsidR="001E67C9" w:rsidRPr="00804364" w:rsidRDefault="001E67C9" w:rsidP="00D03617">
            <w:pPr>
              <w:pStyle w:val="ListParagraph"/>
              <w:ind w:left="0"/>
              <w:jc w:val="both"/>
              <w:rPr>
                <w:sz w:val="22"/>
                <w:szCs w:val="22"/>
              </w:rPr>
            </w:pPr>
            <w:r w:rsidRPr="00804364">
              <w:rPr>
                <w:sz w:val="22"/>
                <w:szCs w:val="22"/>
              </w:rPr>
              <w:t>11</w:t>
            </w:r>
            <w:r w:rsidRPr="00804364">
              <w:rPr>
                <w:sz w:val="22"/>
                <w:szCs w:val="22"/>
              </w:rPr>
              <w:t>.1.punktā iekļautā atsauce nepieciešamības gadījumā</w:t>
            </w:r>
            <w:r w:rsidRPr="00804364">
              <w:rPr>
                <w:sz w:val="22"/>
                <w:szCs w:val="22"/>
              </w:rPr>
              <w:t xml:space="preserve"> </w:t>
            </w:r>
            <w:r w:rsidRPr="00804364">
              <w:rPr>
                <w:sz w:val="22"/>
                <w:szCs w:val="22"/>
              </w:rPr>
              <w:t>tiks precizēt</w:t>
            </w:r>
            <w:r w:rsidRPr="00804364">
              <w:rPr>
                <w:sz w:val="22"/>
                <w:szCs w:val="22"/>
              </w:rPr>
              <w:t>a</w:t>
            </w:r>
            <w:r w:rsidRPr="00804364">
              <w:rPr>
                <w:sz w:val="22"/>
                <w:szCs w:val="22"/>
              </w:rPr>
              <w:t xml:space="preserve"> pirms līguma noslēgšanas līguma projekta saskaņošanas procesā ar iepirkumā noteikto uzvarētāju</w:t>
            </w:r>
            <w:r w:rsidRPr="00804364">
              <w:rPr>
                <w:sz w:val="22"/>
                <w:szCs w:val="22"/>
              </w:rPr>
              <w:t xml:space="preserve">, </w:t>
            </w:r>
            <w:r w:rsidRPr="00804364">
              <w:rPr>
                <w:sz w:val="22"/>
                <w:szCs w:val="22"/>
              </w:rPr>
              <w:t xml:space="preserve">iekļaujot norādi uz </w:t>
            </w:r>
            <w:r w:rsidRPr="00804364">
              <w:rPr>
                <w:sz w:val="22"/>
                <w:szCs w:val="22"/>
              </w:rPr>
              <w:t>5.4</w:t>
            </w:r>
            <w:r w:rsidRPr="00804364">
              <w:rPr>
                <w:sz w:val="22"/>
                <w:szCs w:val="22"/>
              </w:rPr>
              <w:t xml:space="preserve">.punktu. Pasūtītāja ieskatā attiecīgā </w:t>
            </w:r>
            <w:r w:rsidRPr="00804364">
              <w:rPr>
                <w:sz w:val="22"/>
                <w:szCs w:val="22"/>
              </w:rPr>
              <w:t>neprecizitāte</w:t>
            </w:r>
            <w:r w:rsidRPr="00804364">
              <w:rPr>
                <w:sz w:val="22"/>
                <w:szCs w:val="22"/>
              </w:rPr>
              <w:t xml:space="preserve"> ir nebūtiska un neietekmē piedāvājumu sagatavošanas procesu.</w:t>
            </w:r>
          </w:p>
        </w:tc>
      </w:tr>
      <w:tr w:rsidR="001E67C9" w:rsidRPr="00804364" w:rsidTr="0038516D">
        <w:trPr>
          <w:jc w:val="center"/>
        </w:trPr>
        <w:tc>
          <w:tcPr>
            <w:tcW w:w="567" w:type="dxa"/>
          </w:tcPr>
          <w:p w:rsidR="001E67C9" w:rsidRPr="00804364" w:rsidRDefault="00804364" w:rsidP="00DA275B">
            <w:pPr>
              <w:pStyle w:val="ListParagraph"/>
              <w:ind w:left="0"/>
              <w:jc w:val="both"/>
              <w:rPr>
                <w:sz w:val="22"/>
                <w:szCs w:val="22"/>
              </w:rPr>
            </w:pPr>
            <w:r>
              <w:rPr>
                <w:sz w:val="22"/>
                <w:szCs w:val="22"/>
              </w:rPr>
              <w:t>14.</w:t>
            </w:r>
          </w:p>
        </w:tc>
        <w:tc>
          <w:tcPr>
            <w:tcW w:w="1059" w:type="dxa"/>
          </w:tcPr>
          <w:p w:rsidR="001E67C9" w:rsidRPr="00804364" w:rsidRDefault="005B61B1" w:rsidP="00DA275B">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DA275B">
            <w:pPr>
              <w:pStyle w:val="ListParagraph"/>
              <w:ind w:left="0"/>
              <w:jc w:val="both"/>
              <w:rPr>
                <w:sz w:val="22"/>
                <w:szCs w:val="22"/>
              </w:rPr>
            </w:pPr>
            <w:r w:rsidRPr="00804364">
              <w:rPr>
                <w:sz w:val="22"/>
                <w:szCs w:val="22"/>
              </w:rPr>
              <w:t>Lūdzam Pasūtītāju precizēt 15.1. punktā norādīto atsauci uz 5.5. punktu, jo norādītais punkts neatbilst 15.1. punkta kontekstam, kā arī lūdzam skaidrot, vārda “</w:t>
            </w:r>
            <w:proofErr w:type="spellStart"/>
            <w:r w:rsidRPr="00804364">
              <w:rPr>
                <w:sz w:val="22"/>
                <w:szCs w:val="22"/>
              </w:rPr>
              <w:t>starptremiņi</w:t>
            </w:r>
            <w:proofErr w:type="spellEnd"/>
            <w:r w:rsidRPr="00804364">
              <w:rPr>
                <w:sz w:val="22"/>
                <w:szCs w:val="22"/>
              </w:rPr>
              <w:t xml:space="preserve">” nozīmi šajā punktā, jo Līgumā nav </w:t>
            </w:r>
            <w:proofErr w:type="spellStart"/>
            <w:r w:rsidRPr="00804364">
              <w:rPr>
                <w:sz w:val="22"/>
                <w:szCs w:val="22"/>
              </w:rPr>
              <w:t>noteitki</w:t>
            </w:r>
            <w:proofErr w:type="spellEnd"/>
            <w:r w:rsidRPr="00804364">
              <w:rPr>
                <w:sz w:val="22"/>
                <w:szCs w:val="22"/>
              </w:rPr>
              <w:t xml:space="preserve"> konkrēti </w:t>
            </w:r>
            <w:proofErr w:type="spellStart"/>
            <w:r w:rsidRPr="00804364">
              <w:rPr>
                <w:sz w:val="22"/>
                <w:szCs w:val="22"/>
              </w:rPr>
              <w:t>straptermiņi</w:t>
            </w:r>
            <w:proofErr w:type="spellEnd"/>
            <w:r w:rsidRPr="00804364">
              <w:rPr>
                <w:sz w:val="22"/>
                <w:szCs w:val="22"/>
              </w:rPr>
              <w:t xml:space="preserve"> par darbu izpildi.</w:t>
            </w:r>
          </w:p>
        </w:tc>
        <w:tc>
          <w:tcPr>
            <w:tcW w:w="4819" w:type="dxa"/>
          </w:tcPr>
          <w:p w:rsidR="001E67C9" w:rsidRPr="00804364" w:rsidRDefault="001E67C9" w:rsidP="00D03617">
            <w:pPr>
              <w:pStyle w:val="ListParagraph"/>
              <w:ind w:left="0"/>
              <w:jc w:val="both"/>
              <w:rPr>
                <w:sz w:val="22"/>
                <w:szCs w:val="22"/>
              </w:rPr>
            </w:pPr>
            <w:r w:rsidRPr="00804364">
              <w:rPr>
                <w:sz w:val="22"/>
                <w:szCs w:val="22"/>
              </w:rPr>
              <w:t>1</w:t>
            </w:r>
            <w:r w:rsidRPr="00804364">
              <w:rPr>
                <w:sz w:val="22"/>
                <w:szCs w:val="22"/>
              </w:rPr>
              <w:t>5</w:t>
            </w:r>
            <w:r w:rsidRPr="00804364">
              <w:rPr>
                <w:sz w:val="22"/>
                <w:szCs w:val="22"/>
              </w:rPr>
              <w:t>.1.punktā iekļautā atsauce</w:t>
            </w:r>
            <w:r w:rsidRPr="00804364">
              <w:rPr>
                <w:sz w:val="22"/>
                <w:szCs w:val="22"/>
              </w:rPr>
              <w:t xml:space="preserve"> </w:t>
            </w:r>
            <w:r w:rsidRPr="00804364">
              <w:rPr>
                <w:sz w:val="22"/>
                <w:szCs w:val="22"/>
              </w:rPr>
              <w:t>nepieciešamības gadījumā tiks precizēta pirms līguma noslēgšanas līguma projekta saskaņošanas procesā ar iepirkumā noteikto uzvarētāju, iekļaujot norādi uz 5.4.punktu. Pasūtītāja ieskatā attiecīgā neprecizitāte ir nebūtiska un neietekmē piedāvājumu sagatavošanas procesu.</w:t>
            </w:r>
          </w:p>
          <w:p w:rsidR="001E67C9" w:rsidRPr="00804364" w:rsidRDefault="001E67C9" w:rsidP="00525AC2">
            <w:pPr>
              <w:pStyle w:val="ListParagraph"/>
              <w:ind w:left="0"/>
              <w:jc w:val="both"/>
              <w:rPr>
                <w:sz w:val="22"/>
                <w:szCs w:val="22"/>
              </w:rPr>
            </w:pPr>
            <w:r w:rsidRPr="00804364">
              <w:rPr>
                <w:sz w:val="22"/>
                <w:szCs w:val="22"/>
              </w:rPr>
              <w:t>Starptermiņi līguma izpildes procesā var veidoties, piemēram, pasūtītājam pieņemot lēmumu par III un IV kārtas būvniecību (skatīt piebildi 5.4.punktā).</w:t>
            </w:r>
          </w:p>
        </w:tc>
      </w:tr>
      <w:tr w:rsidR="001E67C9" w:rsidRPr="00804364" w:rsidTr="0038516D">
        <w:trPr>
          <w:jc w:val="center"/>
        </w:trPr>
        <w:tc>
          <w:tcPr>
            <w:tcW w:w="567" w:type="dxa"/>
          </w:tcPr>
          <w:p w:rsidR="001E67C9" w:rsidRPr="00804364" w:rsidRDefault="00804364" w:rsidP="00C239E3">
            <w:pPr>
              <w:pStyle w:val="ListParagraph"/>
              <w:ind w:left="0"/>
              <w:jc w:val="both"/>
              <w:rPr>
                <w:sz w:val="22"/>
                <w:szCs w:val="22"/>
              </w:rPr>
            </w:pPr>
            <w:r>
              <w:rPr>
                <w:sz w:val="22"/>
                <w:szCs w:val="22"/>
              </w:rPr>
              <w:t>15.</w:t>
            </w:r>
          </w:p>
        </w:tc>
        <w:tc>
          <w:tcPr>
            <w:tcW w:w="1059" w:type="dxa"/>
          </w:tcPr>
          <w:p w:rsidR="001E67C9" w:rsidRPr="00804364" w:rsidRDefault="005B61B1" w:rsidP="00C239E3">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C57CAE">
            <w:pPr>
              <w:jc w:val="both"/>
              <w:rPr>
                <w:sz w:val="22"/>
                <w:szCs w:val="22"/>
              </w:rPr>
            </w:pPr>
            <w:r w:rsidRPr="00804364">
              <w:rPr>
                <w:sz w:val="22"/>
                <w:szCs w:val="22"/>
              </w:rPr>
              <w:t>Lūdzam Pasūtītāju precizēt 15.4. punktā norādīto atsauci uz punktu 7.1.4.17., jo šāds punkts Līguma projektā nav iekļauts. Kā arī lūdzam Pasūtītāju skaidrot, šī punkta kopsakarību ar 7.1.5.18. punktu.</w:t>
            </w:r>
          </w:p>
          <w:p w:rsidR="001E67C9" w:rsidRPr="00804364" w:rsidRDefault="001E67C9" w:rsidP="00C239E3">
            <w:pPr>
              <w:pStyle w:val="ListParagraph"/>
              <w:ind w:left="0"/>
              <w:jc w:val="both"/>
              <w:rPr>
                <w:sz w:val="22"/>
                <w:szCs w:val="22"/>
              </w:rPr>
            </w:pPr>
          </w:p>
        </w:tc>
        <w:tc>
          <w:tcPr>
            <w:tcW w:w="4819" w:type="dxa"/>
          </w:tcPr>
          <w:p w:rsidR="001E67C9" w:rsidRPr="00804364" w:rsidRDefault="001E67C9" w:rsidP="00E107F5">
            <w:pPr>
              <w:pStyle w:val="ListParagraph"/>
              <w:ind w:left="0"/>
              <w:jc w:val="both"/>
              <w:rPr>
                <w:sz w:val="22"/>
                <w:szCs w:val="22"/>
              </w:rPr>
            </w:pPr>
            <w:r w:rsidRPr="00804364">
              <w:rPr>
                <w:sz w:val="22"/>
                <w:szCs w:val="22"/>
              </w:rPr>
              <w:t>15.4.</w:t>
            </w:r>
            <w:r w:rsidRPr="00804364">
              <w:rPr>
                <w:sz w:val="22"/>
                <w:szCs w:val="22"/>
              </w:rPr>
              <w:t>punktā iekļautā atsauce</w:t>
            </w:r>
            <w:r w:rsidRPr="00804364">
              <w:rPr>
                <w:sz w:val="22"/>
                <w:szCs w:val="22"/>
              </w:rPr>
              <w:t xml:space="preserve"> </w:t>
            </w:r>
            <w:r w:rsidRPr="00804364">
              <w:rPr>
                <w:sz w:val="22"/>
                <w:szCs w:val="22"/>
              </w:rPr>
              <w:t>nepieciešamības gadījumā tiks precizēta pirms līguma noslēgšanas līguma projekta saskaņošanas procesā ar iepirkumā noteikto uzvarētāju, iekļaujot norādi uz 7.1.</w:t>
            </w:r>
            <w:r w:rsidRPr="00804364">
              <w:rPr>
                <w:sz w:val="22"/>
                <w:szCs w:val="22"/>
              </w:rPr>
              <w:t>5</w:t>
            </w:r>
            <w:r w:rsidRPr="00804364">
              <w:rPr>
                <w:sz w:val="22"/>
                <w:szCs w:val="22"/>
              </w:rPr>
              <w:t>.17.</w:t>
            </w:r>
            <w:r w:rsidRPr="00804364">
              <w:rPr>
                <w:sz w:val="22"/>
                <w:szCs w:val="22"/>
              </w:rPr>
              <w:t xml:space="preserve"> un </w:t>
            </w:r>
            <w:r w:rsidRPr="00804364">
              <w:rPr>
                <w:sz w:val="22"/>
                <w:szCs w:val="22"/>
              </w:rPr>
              <w:t>7.1.5.18. punktu. Pasūtītāja ieskatā attiecīgā neprecizitāte ir nebūtiska un neietekmē piedāvājumu sagatavošanas procesu.</w:t>
            </w:r>
          </w:p>
        </w:tc>
      </w:tr>
      <w:tr w:rsidR="001E67C9" w:rsidRPr="00804364" w:rsidTr="0038516D">
        <w:trPr>
          <w:jc w:val="center"/>
        </w:trPr>
        <w:tc>
          <w:tcPr>
            <w:tcW w:w="567" w:type="dxa"/>
          </w:tcPr>
          <w:p w:rsidR="001E67C9" w:rsidRPr="00804364" w:rsidRDefault="00804364" w:rsidP="00C239E3">
            <w:pPr>
              <w:pStyle w:val="ListParagraph"/>
              <w:ind w:left="0"/>
              <w:jc w:val="both"/>
              <w:rPr>
                <w:sz w:val="22"/>
                <w:szCs w:val="22"/>
              </w:rPr>
            </w:pPr>
            <w:r>
              <w:rPr>
                <w:sz w:val="22"/>
                <w:szCs w:val="22"/>
              </w:rPr>
              <w:t>16.</w:t>
            </w:r>
          </w:p>
        </w:tc>
        <w:tc>
          <w:tcPr>
            <w:tcW w:w="1059" w:type="dxa"/>
          </w:tcPr>
          <w:p w:rsidR="001E67C9" w:rsidRPr="00804364" w:rsidRDefault="005B61B1" w:rsidP="00C239E3">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C57CAE">
            <w:pPr>
              <w:jc w:val="both"/>
              <w:rPr>
                <w:sz w:val="22"/>
                <w:szCs w:val="22"/>
              </w:rPr>
            </w:pPr>
            <w:r w:rsidRPr="00804364">
              <w:rPr>
                <w:sz w:val="22"/>
                <w:szCs w:val="22"/>
              </w:rPr>
              <w:t xml:space="preserve">Pēc 16.2.2. punktā norādītās informācijas, Būvuzņēmējam būvdarbi ir </w:t>
            </w:r>
            <w:r w:rsidRPr="00804364">
              <w:rPr>
                <w:sz w:val="22"/>
                <w:szCs w:val="22"/>
                <w:u w:val="single"/>
              </w:rPr>
              <w:t>jāuzsāk 5 (piecu)</w:t>
            </w:r>
            <w:r w:rsidRPr="00804364">
              <w:rPr>
                <w:sz w:val="22"/>
                <w:szCs w:val="22"/>
              </w:rPr>
              <w:t xml:space="preserve"> darba dienu laikā pēc 7.1.4.2. punktā norādītā Objekta nodošanas akta parakstīšanas. Līguma projekta 5.2. punktā noteiks, ka darbi jāuzsāk </w:t>
            </w:r>
            <w:r w:rsidRPr="00804364">
              <w:rPr>
                <w:sz w:val="22"/>
                <w:szCs w:val="22"/>
                <w:u w:val="single"/>
              </w:rPr>
              <w:t>10 (desmit)</w:t>
            </w:r>
            <w:r w:rsidRPr="00804364">
              <w:rPr>
                <w:sz w:val="22"/>
                <w:szCs w:val="22"/>
              </w:rPr>
              <w:t xml:space="preserve"> darba dienu laikā no Līguma slēgšanas, 6.1.1. un 7.1.5.2. punktā noteikts darbu uzsākšanas </w:t>
            </w:r>
            <w:proofErr w:type="spellStart"/>
            <w:r w:rsidRPr="00804364">
              <w:rPr>
                <w:sz w:val="22"/>
                <w:szCs w:val="22"/>
              </w:rPr>
              <w:t>termiņs</w:t>
            </w:r>
            <w:proofErr w:type="spellEnd"/>
            <w:r w:rsidRPr="00804364">
              <w:rPr>
                <w:sz w:val="22"/>
                <w:szCs w:val="22"/>
              </w:rPr>
              <w:t xml:space="preserve"> ne vairāk kā </w:t>
            </w:r>
            <w:r w:rsidRPr="00804364">
              <w:rPr>
                <w:sz w:val="22"/>
                <w:szCs w:val="22"/>
                <w:u w:val="single"/>
              </w:rPr>
              <w:t>10 (desmit)</w:t>
            </w:r>
            <w:r w:rsidRPr="00804364">
              <w:rPr>
                <w:sz w:val="22"/>
                <w:szCs w:val="22"/>
              </w:rPr>
              <w:t xml:space="preserve"> darba dienas pēc Objekta nodošanas akta parakstīšanas.</w:t>
            </w:r>
          </w:p>
          <w:p w:rsidR="001E67C9" w:rsidRPr="00804364" w:rsidRDefault="001E67C9" w:rsidP="00865B8D">
            <w:pPr>
              <w:jc w:val="both"/>
              <w:rPr>
                <w:sz w:val="22"/>
                <w:szCs w:val="22"/>
              </w:rPr>
            </w:pPr>
            <w:r w:rsidRPr="00804364">
              <w:rPr>
                <w:sz w:val="22"/>
                <w:szCs w:val="22"/>
              </w:rPr>
              <w:t>Lūdzam Pasūtītāju grozīt 16.2.2. punktu norādot būvdarbu uzsākšanas termiņu ne vairāk par 10 (desmit) darba dienām, kā arī vēršam Pasūtītāja uzmanību, ka Līguma projektā nav iekļauts punkts 7.1.4.2.</w:t>
            </w:r>
          </w:p>
        </w:tc>
        <w:tc>
          <w:tcPr>
            <w:tcW w:w="4819" w:type="dxa"/>
          </w:tcPr>
          <w:p w:rsidR="001E67C9" w:rsidRPr="00804364" w:rsidRDefault="001E67C9" w:rsidP="00BC4DFE">
            <w:pPr>
              <w:pStyle w:val="ListParagraph"/>
              <w:ind w:left="0"/>
              <w:jc w:val="both"/>
              <w:rPr>
                <w:sz w:val="22"/>
                <w:szCs w:val="22"/>
              </w:rPr>
            </w:pPr>
            <w:r w:rsidRPr="00804364">
              <w:rPr>
                <w:sz w:val="22"/>
                <w:szCs w:val="22"/>
              </w:rPr>
              <w:t>16.2.2.punkts regulē reālo darbu uzsākšanu objektā, savukārt 7.1.5.2. un 5.2.punktos minētā Būvdarbu uzsākšana ir komplekss pasākumu kopums, kas ietvers arī saskaņošanu un darbu uzsākšanas sagatavošanās procesu (skatīt 1.1.punktu). Nepieciešamības gadījumā terminoloģija</w:t>
            </w:r>
            <w:r w:rsidRPr="00804364">
              <w:rPr>
                <w:sz w:val="22"/>
                <w:szCs w:val="22"/>
              </w:rPr>
              <w:t xml:space="preserve"> tiks precizēta pirms līguma noslēgšanas līguma projekta saskaņošanas procesā ar iepirkumā noteikto uzvarētāju, </w:t>
            </w:r>
            <w:r w:rsidRPr="00804364">
              <w:rPr>
                <w:sz w:val="22"/>
                <w:szCs w:val="22"/>
              </w:rPr>
              <w:t xml:space="preserve">16.2.2. punktā </w:t>
            </w:r>
            <w:r w:rsidRPr="00804364">
              <w:rPr>
                <w:sz w:val="22"/>
                <w:szCs w:val="22"/>
              </w:rPr>
              <w:t xml:space="preserve">iekļaujot norādi uz </w:t>
            </w:r>
            <w:r w:rsidRPr="00804364">
              <w:rPr>
                <w:sz w:val="22"/>
                <w:szCs w:val="22"/>
              </w:rPr>
              <w:t xml:space="preserve">reālo darbu uzsākšanu, kā arī atsauci uz 7.1.5.2. punktu. </w:t>
            </w:r>
            <w:r w:rsidRPr="00804364">
              <w:rPr>
                <w:sz w:val="22"/>
                <w:szCs w:val="22"/>
              </w:rPr>
              <w:t>Pasūtītāja ieskatā attiecīgā neprecizitāte ir nebūtiska un neietekmē piedāvājumu sagatavošanas procesu.</w:t>
            </w:r>
          </w:p>
        </w:tc>
      </w:tr>
      <w:tr w:rsidR="001E67C9" w:rsidRPr="00804364" w:rsidTr="0038516D">
        <w:trPr>
          <w:jc w:val="center"/>
        </w:trPr>
        <w:tc>
          <w:tcPr>
            <w:tcW w:w="567" w:type="dxa"/>
          </w:tcPr>
          <w:p w:rsidR="001E67C9" w:rsidRPr="00804364" w:rsidRDefault="00804364" w:rsidP="00C239E3">
            <w:pPr>
              <w:pStyle w:val="ListParagraph"/>
              <w:ind w:left="0"/>
              <w:jc w:val="both"/>
              <w:rPr>
                <w:sz w:val="22"/>
                <w:szCs w:val="22"/>
              </w:rPr>
            </w:pPr>
            <w:r>
              <w:rPr>
                <w:sz w:val="22"/>
                <w:szCs w:val="22"/>
              </w:rPr>
              <w:t>17.</w:t>
            </w:r>
          </w:p>
        </w:tc>
        <w:tc>
          <w:tcPr>
            <w:tcW w:w="1059" w:type="dxa"/>
          </w:tcPr>
          <w:p w:rsidR="001E67C9" w:rsidRPr="00804364" w:rsidRDefault="005B61B1" w:rsidP="00C239E3">
            <w:pPr>
              <w:pStyle w:val="ListParagraph"/>
              <w:ind w:left="0"/>
              <w:jc w:val="both"/>
              <w:rPr>
                <w:sz w:val="16"/>
                <w:szCs w:val="16"/>
              </w:rPr>
            </w:pPr>
            <w:r w:rsidRPr="00804364">
              <w:rPr>
                <w:sz w:val="16"/>
                <w:szCs w:val="16"/>
              </w:rPr>
              <w:t>Līguma projekts</w:t>
            </w:r>
          </w:p>
        </w:tc>
        <w:tc>
          <w:tcPr>
            <w:tcW w:w="4045" w:type="dxa"/>
          </w:tcPr>
          <w:p w:rsidR="001E67C9" w:rsidRPr="00804364" w:rsidRDefault="001E67C9" w:rsidP="00865B8D">
            <w:pPr>
              <w:jc w:val="both"/>
              <w:rPr>
                <w:sz w:val="22"/>
                <w:szCs w:val="22"/>
              </w:rPr>
            </w:pPr>
            <w:r w:rsidRPr="00804364">
              <w:rPr>
                <w:sz w:val="22"/>
                <w:szCs w:val="22"/>
              </w:rPr>
              <w:t>Punktos 16.5., 16.6. un 22.2. noteikts, ka sarakste starp Pasūtītāju un Būvuzņēmēju notiek caur oficiālajām e-pasta adresēm, kas parakstīta ar elektronisko parakstu. Uzskatām, ka šādi Būvuzņēmējs ir spiests kārtot elektronisko parakstu šī konkrētā līguma dēļ, tādējādi lūdzam Pasūtītāju noteikt arī citas sarakstes iespējas starp Pusēm, lai nodrošinātu brīvas saskarsmes iespējas saskaņā ar normatīvo aktu prasībām.</w:t>
            </w:r>
          </w:p>
        </w:tc>
        <w:tc>
          <w:tcPr>
            <w:tcW w:w="4819" w:type="dxa"/>
          </w:tcPr>
          <w:p w:rsidR="001E67C9" w:rsidRPr="00804364" w:rsidRDefault="001E67C9" w:rsidP="00C239E3">
            <w:pPr>
              <w:pStyle w:val="ListParagraph"/>
              <w:ind w:left="0"/>
              <w:jc w:val="both"/>
              <w:rPr>
                <w:sz w:val="22"/>
                <w:szCs w:val="22"/>
              </w:rPr>
            </w:pPr>
            <w:r w:rsidRPr="00804364">
              <w:rPr>
                <w:sz w:val="22"/>
                <w:szCs w:val="22"/>
              </w:rPr>
              <w:t>Pasūtītāja ieskatā droša elektroniskā paraksta izmantošana ir samērīgs apgrūtinājums, lai garantētu ātru, operatīvu un juridiski saistošu saziņu starp pusēm līguma izpildes procesā.</w:t>
            </w:r>
          </w:p>
        </w:tc>
      </w:tr>
      <w:tr w:rsidR="001E67C9" w:rsidRPr="00804364" w:rsidTr="0038516D">
        <w:trPr>
          <w:jc w:val="center"/>
        </w:trPr>
        <w:tc>
          <w:tcPr>
            <w:tcW w:w="567" w:type="dxa"/>
          </w:tcPr>
          <w:p w:rsidR="001E67C9" w:rsidRPr="00804364" w:rsidRDefault="00804364" w:rsidP="00C239E3">
            <w:pPr>
              <w:pStyle w:val="ListParagraph"/>
              <w:ind w:left="0"/>
              <w:jc w:val="both"/>
              <w:rPr>
                <w:sz w:val="22"/>
                <w:szCs w:val="22"/>
              </w:rPr>
            </w:pPr>
            <w:r>
              <w:rPr>
                <w:sz w:val="22"/>
                <w:szCs w:val="22"/>
              </w:rPr>
              <w:lastRenderedPageBreak/>
              <w:t>18.</w:t>
            </w:r>
          </w:p>
        </w:tc>
        <w:tc>
          <w:tcPr>
            <w:tcW w:w="1059" w:type="dxa"/>
          </w:tcPr>
          <w:p w:rsidR="001E67C9" w:rsidRPr="00804364" w:rsidRDefault="005B61B1" w:rsidP="00C239E3">
            <w:pPr>
              <w:pStyle w:val="ListParagraph"/>
              <w:ind w:left="0"/>
              <w:jc w:val="both"/>
              <w:rPr>
                <w:sz w:val="22"/>
                <w:szCs w:val="22"/>
              </w:rPr>
            </w:pPr>
            <w:r w:rsidRPr="00804364">
              <w:rPr>
                <w:sz w:val="16"/>
                <w:szCs w:val="16"/>
              </w:rPr>
              <w:t>Līguma projekts</w:t>
            </w:r>
          </w:p>
        </w:tc>
        <w:tc>
          <w:tcPr>
            <w:tcW w:w="4045" w:type="dxa"/>
          </w:tcPr>
          <w:p w:rsidR="001E67C9" w:rsidRPr="00804364" w:rsidRDefault="001E67C9" w:rsidP="00BD0B47">
            <w:pPr>
              <w:spacing w:line="276" w:lineRule="auto"/>
              <w:jc w:val="both"/>
              <w:rPr>
                <w:sz w:val="22"/>
                <w:szCs w:val="22"/>
                <w:u w:val="single"/>
              </w:rPr>
            </w:pPr>
            <w:r w:rsidRPr="00804364">
              <w:rPr>
                <w:sz w:val="22"/>
                <w:szCs w:val="22"/>
                <w:u w:val="single"/>
              </w:rPr>
              <w:t xml:space="preserve">Par galvenajiem izmantojamajiem materiāliem un iekārtām </w:t>
            </w:r>
          </w:p>
          <w:p w:rsidR="001E67C9" w:rsidRPr="00804364" w:rsidRDefault="001E67C9" w:rsidP="00BD0B47">
            <w:pPr>
              <w:spacing w:after="120" w:line="276" w:lineRule="auto"/>
              <w:jc w:val="both"/>
              <w:rPr>
                <w:sz w:val="22"/>
                <w:szCs w:val="22"/>
              </w:rPr>
            </w:pPr>
            <w:r w:rsidRPr="00804364">
              <w:rPr>
                <w:sz w:val="22"/>
                <w:szCs w:val="22"/>
              </w:rPr>
              <w:t>Atbilstoši Konkursa nolikuma 4.pielikuma “</w:t>
            </w:r>
            <w:bookmarkStart w:id="1" w:name="_Toc332985318"/>
            <w:bookmarkStart w:id="2" w:name="_Toc449629845"/>
            <w:bookmarkStart w:id="3" w:name="_Toc141341777"/>
            <w:bookmarkStart w:id="4" w:name="_Toc141785308"/>
            <w:bookmarkStart w:id="5" w:name="_Toc141785521"/>
            <w:r w:rsidRPr="00804364">
              <w:rPr>
                <w:sz w:val="22"/>
                <w:szCs w:val="22"/>
              </w:rPr>
              <w:t>Tehniskais piedāvājuma sagatavošanas vadlīnijas (forma)</w:t>
            </w:r>
            <w:bookmarkEnd w:id="1"/>
            <w:bookmarkEnd w:id="2"/>
            <w:bookmarkEnd w:id="3"/>
            <w:bookmarkEnd w:id="4"/>
            <w:bookmarkEnd w:id="5"/>
            <w:r w:rsidRPr="00804364">
              <w:rPr>
                <w:sz w:val="22"/>
                <w:szCs w:val="22"/>
              </w:rPr>
              <w:t xml:space="preserve"> (Minimālās prasības tehniskā piedāvājuma saturam)” (turpmāk – Tehniskā piedāvājuma vadlīnijas) 11.punktam tehniskajam piedāvājumam jāpievieno galveno izmantojamo materiālu un iekārtu saraksts atbilstoši Tehniskajai specifikācijai, kā arī ražotāju vai piegādātāju apliecinājumi, kuros minēta informācija par materiālu izcelsmes vietu, kvalitāti un atbilstību izvirzītajām prasībām.</w:t>
            </w:r>
          </w:p>
          <w:p w:rsidR="001E67C9" w:rsidRPr="00804364" w:rsidRDefault="001E67C9" w:rsidP="00BD0B47">
            <w:pPr>
              <w:widowControl w:val="0"/>
              <w:overflowPunct w:val="0"/>
              <w:autoSpaceDE w:val="0"/>
              <w:autoSpaceDN w:val="0"/>
              <w:adjustRightInd w:val="0"/>
              <w:spacing w:after="120" w:line="276" w:lineRule="auto"/>
              <w:jc w:val="both"/>
              <w:rPr>
                <w:sz w:val="22"/>
                <w:szCs w:val="22"/>
              </w:rPr>
            </w:pPr>
            <w:r w:rsidRPr="00804364">
              <w:rPr>
                <w:sz w:val="22"/>
                <w:szCs w:val="22"/>
              </w:rPr>
              <w:t xml:space="preserve">Lūdzam Pasūtītāju apstiprināt, ka pretendents izpildīs Tehniskā piedāvājuma vadlīniju 11.punkta prasības, ja galveno izmantojamo materiālu un iekārtu sarakstā uzskaitīs tādus materiālus kā </w:t>
            </w:r>
            <w:r w:rsidRPr="00804364">
              <w:rPr>
                <w:i/>
                <w:sz w:val="22"/>
                <w:szCs w:val="22"/>
              </w:rPr>
              <w:t xml:space="preserve">smilts (salizturīgā kārta), </w:t>
            </w:r>
            <w:proofErr w:type="spellStart"/>
            <w:r w:rsidRPr="00804364">
              <w:rPr>
                <w:i/>
                <w:sz w:val="22"/>
                <w:szCs w:val="22"/>
              </w:rPr>
              <w:t>minerālmateriāla</w:t>
            </w:r>
            <w:proofErr w:type="spellEnd"/>
            <w:r w:rsidRPr="00804364">
              <w:rPr>
                <w:i/>
                <w:sz w:val="22"/>
                <w:szCs w:val="22"/>
              </w:rPr>
              <w:t xml:space="preserve"> maisījums ar frakciju 0/32mm, 0/45mm un 0/56mm, </w:t>
            </w:r>
            <w:proofErr w:type="spellStart"/>
            <w:r w:rsidRPr="00804364">
              <w:rPr>
                <w:i/>
                <w:sz w:val="22"/>
                <w:szCs w:val="22"/>
              </w:rPr>
              <w:t>valčbetons</w:t>
            </w:r>
            <w:proofErr w:type="spellEnd"/>
            <w:r w:rsidRPr="00804364">
              <w:rPr>
                <w:i/>
                <w:sz w:val="22"/>
                <w:szCs w:val="22"/>
              </w:rPr>
              <w:t xml:space="preserve"> C30/40, asfaltbetons AC11surf PMB, AC 11surf, AC 22 </w:t>
            </w:r>
            <w:proofErr w:type="spellStart"/>
            <w:r w:rsidRPr="00804364">
              <w:rPr>
                <w:i/>
                <w:sz w:val="22"/>
                <w:szCs w:val="22"/>
              </w:rPr>
              <w:t>base</w:t>
            </w:r>
            <w:proofErr w:type="spellEnd"/>
            <w:r w:rsidRPr="00804364">
              <w:rPr>
                <w:i/>
                <w:sz w:val="22"/>
                <w:szCs w:val="22"/>
              </w:rPr>
              <w:t>,</w:t>
            </w:r>
            <w:proofErr w:type="gramStart"/>
            <w:r w:rsidRPr="00804364">
              <w:rPr>
                <w:i/>
                <w:sz w:val="22"/>
                <w:szCs w:val="22"/>
              </w:rPr>
              <w:t xml:space="preserve">  </w:t>
            </w:r>
            <w:proofErr w:type="gramEnd"/>
            <w:r w:rsidRPr="00804364">
              <w:rPr>
                <w:i/>
                <w:sz w:val="22"/>
                <w:szCs w:val="22"/>
              </w:rPr>
              <w:t xml:space="preserve">ūdensvada un kanalizācijas spiedvada caurules PE100-RC, </w:t>
            </w:r>
            <w:proofErr w:type="spellStart"/>
            <w:r w:rsidRPr="00804364">
              <w:rPr>
                <w:i/>
                <w:sz w:val="22"/>
                <w:szCs w:val="22"/>
              </w:rPr>
              <w:t>gludsienu</w:t>
            </w:r>
            <w:proofErr w:type="spellEnd"/>
            <w:r w:rsidRPr="00804364">
              <w:rPr>
                <w:i/>
                <w:sz w:val="22"/>
                <w:szCs w:val="22"/>
              </w:rPr>
              <w:t xml:space="preserve"> pašteces kanalizācijas caurules PP SN8, lietus kanalizācijas caurules PP SN8, kabelis AXPK, kabelis NYM-J, ielas apgaismojuma gaismeklis 70W-75W, betona bruģis, betona apmales</w:t>
            </w:r>
            <w:r w:rsidRPr="00804364">
              <w:rPr>
                <w:sz w:val="22"/>
                <w:szCs w:val="22"/>
              </w:rPr>
              <w:t>, un attiecīgi par uzskaitītajiem materiāliem pievienos ražotāju vai piegādātāju apliecinājumus, kas saturēs informāciju par materiālu izcelsmes vietu, kvalitāti un atbilstību izvirzītajām prasībām.</w:t>
            </w:r>
          </w:p>
        </w:tc>
        <w:tc>
          <w:tcPr>
            <w:tcW w:w="4819" w:type="dxa"/>
          </w:tcPr>
          <w:p w:rsidR="001E67C9" w:rsidRPr="00804364" w:rsidRDefault="001E67C9" w:rsidP="00704F7C">
            <w:pPr>
              <w:pStyle w:val="ListParagraph"/>
              <w:ind w:left="0"/>
              <w:jc w:val="both"/>
              <w:rPr>
                <w:sz w:val="22"/>
                <w:szCs w:val="22"/>
              </w:rPr>
            </w:pPr>
            <w:r w:rsidRPr="00804364">
              <w:rPr>
                <w:sz w:val="22"/>
                <w:szCs w:val="22"/>
              </w:rPr>
              <w:t>Ieinteresētā pretendenta uzskaitījums varētu tikt uzskatīts par atbilstošu. Jebkurā gadījumā nepieciešamības gadījumā piedāvājumu vērtēšanas gaitā pasūtītājs ir tiesīgs pieprasīt pretendentam skaidrot un sniegt detalizētu informāciju par tā piedāvājumu.</w:t>
            </w:r>
          </w:p>
        </w:tc>
      </w:tr>
    </w:tbl>
    <w:p w:rsidR="00272811" w:rsidRDefault="00272811" w:rsidP="00272811">
      <w:pPr>
        <w:ind w:firstLine="720"/>
        <w:jc w:val="both"/>
      </w:pPr>
    </w:p>
    <w:p w:rsidR="00272811" w:rsidRDefault="00272811" w:rsidP="000C31E3">
      <w:pPr>
        <w:shd w:val="clear" w:color="auto" w:fill="DBE5F1" w:themeFill="accent1" w:themeFillTint="33"/>
        <w:jc w:val="both"/>
        <w:rPr>
          <w:b/>
          <w:bCs/>
        </w:rPr>
      </w:pPr>
      <w:r>
        <w:t xml:space="preserve"> </w:t>
      </w:r>
      <w:r>
        <w:rPr>
          <w:b/>
          <w:bCs/>
        </w:rPr>
        <w:t xml:space="preserve">Komisija nolemj: </w:t>
      </w:r>
    </w:p>
    <w:p w:rsidR="00272811" w:rsidRDefault="003216B9" w:rsidP="000C31E3">
      <w:pPr>
        <w:numPr>
          <w:ilvl w:val="0"/>
          <w:numId w:val="1"/>
        </w:numPr>
        <w:shd w:val="clear" w:color="auto" w:fill="DBE5F1" w:themeFill="accent1" w:themeFillTint="33"/>
        <w:tabs>
          <w:tab w:val="num" w:pos="720"/>
        </w:tabs>
        <w:ind w:left="720" w:hanging="720"/>
        <w:jc w:val="both"/>
      </w:pPr>
      <w:r>
        <w:t>Sniegt skaidrojumus par</w:t>
      </w:r>
      <w:r w:rsidR="00D95FC9">
        <w:t xml:space="preserve"> iepirkuma </w:t>
      </w:r>
      <w:r w:rsidR="00D6257C" w:rsidRPr="00E77527">
        <w:t>„</w:t>
      </w:r>
      <w:r w:rsidR="00D6257C">
        <w:rPr>
          <w:rStyle w:val="Heading1Char"/>
          <w:sz w:val="24"/>
        </w:rPr>
        <w:t>Muižas ielas pārbūve</w:t>
      </w:r>
      <w:r w:rsidR="00D6257C" w:rsidRPr="00E77527">
        <w:t>”</w:t>
      </w:r>
      <w:r w:rsidR="00D6257C">
        <w:t xml:space="preserve"> (ID.Nr.: ĀND 2017/01)</w:t>
      </w:r>
      <w:r w:rsidR="00FB4200">
        <w:t xml:space="preserve"> </w:t>
      </w:r>
      <w:r>
        <w:t>nolikumu</w:t>
      </w:r>
      <w:r w:rsidR="00D95FC9">
        <w:t xml:space="preserve">, ievietojot </w:t>
      </w:r>
      <w:r>
        <w:t>skaidrojumu</w:t>
      </w:r>
      <w:r w:rsidR="00D95FC9">
        <w:t xml:space="preserve"> ĀND mājaslapā</w:t>
      </w:r>
      <w:r w:rsidR="00D95FC9">
        <w:rPr>
          <w:i/>
        </w:rPr>
        <w:t>;</w:t>
      </w:r>
    </w:p>
    <w:p w:rsidR="00272811" w:rsidRDefault="00D95FC9" w:rsidP="000C31E3">
      <w:pPr>
        <w:numPr>
          <w:ilvl w:val="0"/>
          <w:numId w:val="1"/>
        </w:numPr>
        <w:shd w:val="clear" w:color="auto" w:fill="DBE5F1" w:themeFill="accent1" w:themeFillTint="33"/>
        <w:tabs>
          <w:tab w:val="num" w:pos="720"/>
        </w:tabs>
        <w:ind w:left="720" w:hanging="720"/>
        <w:jc w:val="both"/>
      </w:pPr>
      <w:r>
        <w:t>Informēt ieinteresēto</w:t>
      </w:r>
      <w:r w:rsidR="005B61B1">
        <w:t>s</w:t>
      </w:r>
      <w:r>
        <w:t xml:space="preserve"> pretendentu</w:t>
      </w:r>
      <w:r w:rsidR="005B61B1">
        <w:t>s</w:t>
      </w:r>
      <w:r>
        <w:t xml:space="preserve"> par </w:t>
      </w:r>
      <w:r w:rsidR="003216B9">
        <w:t>sagatavotajiem skaidrojumiem</w:t>
      </w:r>
      <w:r>
        <w:t>.</w:t>
      </w:r>
    </w:p>
    <w:p w:rsidR="00272811" w:rsidRDefault="00272811" w:rsidP="00272811">
      <w:pPr>
        <w:jc w:val="both"/>
        <w:rPr>
          <w:b/>
          <w:bCs/>
        </w:rPr>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3A2DCD">
        <w:t>ekšsēdētājs sēdi slēdz plkst. 12</w:t>
      </w:r>
      <w:r>
        <w:t>:00.</w:t>
      </w:r>
    </w:p>
    <w:p w:rsidR="00272811" w:rsidRDefault="00272811" w:rsidP="00272811">
      <w:pPr>
        <w:jc w:val="both"/>
      </w:pPr>
    </w:p>
    <w:p w:rsidR="00272811" w:rsidRDefault="00272811" w:rsidP="00272811">
      <w:pPr>
        <w:jc w:val="both"/>
        <w:rPr>
          <w:b/>
        </w:rPr>
      </w:pPr>
      <w:r>
        <w:rPr>
          <w:b/>
        </w:rPr>
        <w:t xml:space="preserve">Pielikumā:    </w:t>
      </w:r>
    </w:p>
    <w:p w:rsidR="00272811" w:rsidRDefault="002A54C7" w:rsidP="00023654">
      <w:pPr>
        <w:numPr>
          <w:ilvl w:val="0"/>
          <w:numId w:val="2"/>
        </w:numPr>
        <w:ind w:hanging="720"/>
        <w:jc w:val="both"/>
      </w:pPr>
      <w:r>
        <w:t>Publikāci</w:t>
      </w:r>
      <w:r w:rsidR="005B61B1">
        <w:t>j</w:t>
      </w:r>
      <w:r w:rsidR="00A162BE">
        <w:t>as</w:t>
      </w:r>
      <w:r w:rsidR="005B61B1">
        <w:t xml:space="preserve"> izdruka</w:t>
      </w:r>
      <w:r>
        <w:t xml:space="preserve"> no ĀND </w:t>
      </w:r>
      <w:r w:rsidR="00A162BE">
        <w:t>mājaslapas</w:t>
      </w:r>
      <w:r w:rsidR="00B35B14">
        <w:t>;</w:t>
      </w:r>
    </w:p>
    <w:p w:rsidR="00B35B14" w:rsidRDefault="00B35B14" w:rsidP="00023654">
      <w:pPr>
        <w:numPr>
          <w:ilvl w:val="0"/>
          <w:numId w:val="2"/>
        </w:numPr>
        <w:ind w:hanging="720"/>
        <w:jc w:val="both"/>
      </w:pPr>
      <w:r>
        <w:lastRenderedPageBreak/>
        <w:t>INFO vēstule</w:t>
      </w:r>
      <w:r w:rsidR="005B61B1">
        <w:t>s</w:t>
      </w:r>
      <w:r>
        <w:t xml:space="preserve"> ieinteresētaj</w:t>
      </w:r>
      <w:r w:rsidR="005B61B1">
        <w:t>iem pretendentie</w:t>
      </w:r>
      <w:r>
        <w:t>m;</w:t>
      </w:r>
    </w:p>
    <w:p w:rsidR="00B35B14" w:rsidRDefault="00B35B14" w:rsidP="00023654">
      <w:pPr>
        <w:numPr>
          <w:ilvl w:val="0"/>
          <w:numId w:val="2"/>
        </w:numPr>
        <w:ind w:hanging="720"/>
        <w:jc w:val="both"/>
      </w:pPr>
      <w:r>
        <w:t>Ieinteresēt</w:t>
      </w:r>
      <w:r w:rsidR="005B61B1">
        <w:t>o</w:t>
      </w:r>
      <w:r>
        <w:t xml:space="preserve"> pretendent</w:t>
      </w:r>
      <w:r w:rsidR="005B61B1">
        <w:t>u</w:t>
      </w:r>
      <w:r>
        <w:t xml:space="preserve"> iesniegum</w:t>
      </w:r>
      <w:r w:rsidR="00A162BE">
        <w:t>i</w:t>
      </w:r>
      <w:r>
        <w:t>.</w:t>
      </w:r>
    </w:p>
    <w:p w:rsidR="00272811" w:rsidRDefault="00272811" w:rsidP="00272811">
      <w:pPr>
        <w:jc w:val="both"/>
      </w:pPr>
    </w:p>
    <w:p w:rsidR="00272811" w:rsidRDefault="00272811" w:rsidP="00272811">
      <w:pPr>
        <w:jc w:val="both"/>
      </w:pPr>
    </w:p>
    <w:p w:rsidR="00272811" w:rsidRDefault="00272811" w:rsidP="00272811"/>
    <w:p w:rsidR="00272811" w:rsidRDefault="00272811" w:rsidP="00272811">
      <w:pPr>
        <w:jc w:val="both"/>
      </w:pPr>
    </w:p>
    <w:p w:rsidR="00E14B63" w:rsidRDefault="00E14B63" w:rsidP="00E14B63">
      <w:pPr>
        <w:ind w:right="-694"/>
        <w:jc w:val="both"/>
      </w:pPr>
      <w:r>
        <w:t xml:space="preserve">Komisijas priekšsēdētājs: </w:t>
      </w:r>
      <w:r>
        <w:tab/>
      </w:r>
      <w:r>
        <w:tab/>
        <w:t>_____________________</w:t>
      </w:r>
      <w:r>
        <w:tab/>
        <w:t xml:space="preserve">A. Brūvers </w:t>
      </w:r>
    </w:p>
    <w:p w:rsidR="00E14B63" w:rsidRDefault="00E14B63" w:rsidP="00E14B63">
      <w:pPr>
        <w:ind w:right="-694"/>
        <w:jc w:val="both"/>
      </w:pPr>
    </w:p>
    <w:p w:rsidR="00E14B63" w:rsidRDefault="00E14B63" w:rsidP="001D4969">
      <w:pPr>
        <w:ind w:right="-694"/>
        <w:jc w:val="both"/>
      </w:pPr>
      <w:r>
        <w:t>Komisijas locekļi:</w:t>
      </w:r>
      <w:r>
        <w:tab/>
      </w:r>
      <w:r w:rsidR="00097C01">
        <w:tab/>
      </w:r>
      <w:r w:rsidR="00097C01">
        <w:tab/>
      </w:r>
      <w:r>
        <w:t>_____________________</w:t>
      </w:r>
      <w:r>
        <w:tab/>
        <w:t>H. Krasts</w:t>
      </w:r>
    </w:p>
    <w:p w:rsidR="0030500F" w:rsidRDefault="0030500F" w:rsidP="0030500F"/>
    <w:p w:rsidR="0030500F" w:rsidRDefault="0030500F" w:rsidP="0030500F">
      <w:r>
        <w:tab/>
      </w:r>
      <w:r>
        <w:tab/>
      </w:r>
      <w:r>
        <w:tab/>
      </w:r>
      <w:r>
        <w:tab/>
      </w:r>
      <w:r>
        <w:tab/>
        <w:t>_____________________</w:t>
      </w:r>
      <w:r>
        <w:tab/>
        <w:t>U. Dambis</w:t>
      </w:r>
    </w:p>
    <w:p w:rsidR="00237347" w:rsidRDefault="00237347" w:rsidP="00237347"/>
    <w:p w:rsidR="00237347" w:rsidRDefault="00237347" w:rsidP="00237347">
      <w:r>
        <w:tab/>
      </w:r>
      <w:r>
        <w:tab/>
      </w:r>
      <w:r>
        <w:tab/>
      </w:r>
      <w:r>
        <w:tab/>
      </w:r>
      <w:r>
        <w:tab/>
        <w:t>_____________________</w:t>
      </w:r>
      <w:r>
        <w:tab/>
        <w:t>V.Bulāns</w:t>
      </w:r>
    </w:p>
    <w:p w:rsidR="00237347" w:rsidRDefault="00237347" w:rsidP="00237347"/>
    <w:p w:rsidR="00237347" w:rsidRDefault="00237347" w:rsidP="00237347">
      <w:r>
        <w:tab/>
      </w:r>
      <w:r>
        <w:tab/>
      </w:r>
      <w:r>
        <w:tab/>
      </w:r>
      <w:r>
        <w:tab/>
      </w:r>
      <w:r>
        <w:tab/>
        <w:t>_____________________</w:t>
      </w:r>
      <w:r>
        <w:tab/>
        <w:t>R. Šteina</w:t>
      </w:r>
    </w:p>
    <w:p w:rsidR="006B6501" w:rsidRDefault="006B6501" w:rsidP="00237347"/>
    <w:sectPr w:rsidR="006B6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13E0"/>
    <w:multiLevelType w:val="hybridMultilevel"/>
    <w:tmpl w:val="B170AF3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A4F64"/>
    <w:multiLevelType w:val="hybridMultilevel"/>
    <w:tmpl w:val="91DA01DE"/>
    <w:lvl w:ilvl="0" w:tplc="7340D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E013FE9"/>
    <w:multiLevelType w:val="hybridMultilevel"/>
    <w:tmpl w:val="CBEA7A40"/>
    <w:lvl w:ilvl="0" w:tplc="04260017">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nsid w:val="1E2A5A55"/>
    <w:multiLevelType w:val="multilevel"/>
    <w:tmpl w:val="6A12D2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ACA1F31"/>
    <w:multiLevelType w:val="multilevel"/>
    <w:tmpl w:val="29283E4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82C79D8"/>
    <w:multiLevelType w:val="multilevel"/>
    <w:tmpl w:val="2B56E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
    <w:nsid w:val="5162534C"/>
    <w:multiLevelType w:val="multilevel"/>
    <w:tmpl w:val="6A12D2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AF520D6"/>
    <w:multiLevelType w:val="multilevel"/>
    <w:tmpl w:val="AFBAF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D062CCB"/>
    <w:multiLevelType w:val="multilevel"/>
    <w:tmpl w:val="29283E4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2"/>
  </w:num>
  <w:num w:numId="6">
    <w:abstractNumId w:val="3"/>
  </w:num>
  <w:num w:numId="7">
    <w:abstractNumId w:val="4"/>
  </w:num>
  <w:num w:numId="8">
    <w:abstractNumId w:val="6"/>
  </w:num>
  <w:num w:numId="9">
    <w:abstractNumId w:val="10"/>
  </w:num>
  <w:num w:numId="10">
    <w:abstractNumId w:val="8"/>
  </w:num>
  <w:num w:numId="11">
    <w:abstractNumId w:val="11"/>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23654"/>
    <w:rsid w:val="00031EC3"/>
    <w:rsid w:val="0004404C"/>
    <w:rsid w:val="00056D21"/>
    <w:rsid w:val="0009587F"/>
    <w:rsid w:val="00097C01"/>
    <w:rsid w:val="000B0B2D"/>
    <w:rsid w:val="000C04A9"/>
    <w:rsid w:val="000C31E3"/>
    <w:rsid w:val="00144E30"/>
    <w:rsid w:val="0014567A"/>
    <w:rsid w:val="001464BD"/>
    <w:rsid w:val="00146516"/>
    <w:rsid w:val="00160123"/>
    <w:rsid w:val="001D4969"/>
    <w:rsid w:val="001D5B3D"/>
    <w:rsid w:val="001E56B8"/>
    <w:rsid w:val="001E67C9"/>
    <w:rsid w:val="001F4577"/>
    <w:rsid w:val="0020090F"/>
    <w:rsid w:val="00237347"/>
    <w:rsid w:val="00261C0A"/>
    <w:rsid w:val="002716BB"/>
    <w:rsid w:val="00272811"/>
    <w:rsid w:val="002A1C45"/>
    <w:rsid w:val="002A54C7"/>
    <w:rsid w:val="002A72D5"/>
    <w:rsid w:val="002C6C19"/>
    <w:rsid w:val="002D1069"/>
    <w:rsid w:val="0030180F"/>
    <w:rsid w:val="0030500F"/>
    <w:rsid w:val="003216B9"/>
    <w:rsid w:val="003241BF"/>
    <w:rsid w:val="00347760"/>
    <w:rsid w:val="003511BA"/>
    <w:rsid w:val="00381801"/>
    <w:rsid w:val="0038516D"/>
    <w:rsid w:val="003900B8"/>
    <w:rsid w:val="003A2DCD"/>
    <w:rsid w:val="003D1793"/>
    <w:rsid w:val="003D20B0"/>
    <w:rsid w:val="003D52F4"/>
    <w:rsid w:val="003D78D5"/>
    <w:rsid w:val="003E1B5D"/>
    <w:rsid w:val="003E6729"/>
    <w:rsid w:val="0042445E"/>
    <w:rsid w:val="0045036C"/>
    <w:rsid w:val="0045072A"/>
    <w:rsid w:val="00463D9A"/>
    <w:rsid w:val="004671C4"/>
    <w:rsid w:val="00472003"/>
    <w:rsid w:val="00480122"/>
    <w:rsid w:val="00487F2D"/>
    <w:rsid w:val="00491566"/>
    <w:rsid w:val="004A35ED"/>
    <w:rsid w:val="004C478A"/>
    <w:rsid w:val="004E5069"/>
    <w:rsid w:val="00525AC2"/>
    <w:rsid w:val="00553B33"/>
    <w:rsid w:val="00570800"/>
    <w:rsid w:val="00580D28"/>
    <w:rsid w:val="005913ED"/>
    <w:rsid w:val="00593835"/>
    <w:rsid w:val="005B61B1"/>
    <w:rsid w:val="005D34F5"/>
    <w:rsid w:val="005D66B5"/>
    <w:rsid w:val="00600BFE"/>
    <w:rsid w:val="00610100"/>
    <w:rsid w:val="006208C5"/>
    <w:rsid w:val="00650725"/>
    <w:rsid w:val="00691FAC"/>
    <w:rsid w:val="006A6BA0"/>
    <w:rsid w:val="006B2C5B"/>
    <w:rsid w:val="006B4E61"/>
    <w:rsid w:val="006B6501"/>
    <w:rsid w:val="006B68BA"/>
    <w:rsid w:val="006D295B"/>
    <w:rsid w:val="006E3617"/>
    <w:rsid w:val="00702148"/>
    <w:rsid w:val="00704F7C"/>
    <w:rsid w:val="007054A2"/>
    <w:rsid w:val="00706ADC"/>
    <w:rsid w:val="007079A4"/>
    <w:rsid w:val="00730804"/>
    <w:rsid w:val="0074567A"/>
    <w:rsid w:val="00760242"/>
    <w:rsid w:val="00766450"/>
    <w:rsid w:val="00773408"/>
    <w:rsid w:val="00793638"/>
    <w:rsid w:val="007C2211"/>
    <w:rsid w:val="007C3A3E"/>
    <w:rsid w:val="007E6DA0"/>
    <w:rsid w:val="00804364"/>
    <w:rsid w:val="00805173"/>
    <w:rsid w:val="0083447E"/>
    <w:rsid w:val="00843A18"/>
    <w:rsid w:val="00844A32"/>
    <w:rsid w:val="00847F37"/>
    <w:rsid w:val="00863C22"/>
    <w:rsid w:val="00865B8D"/>
    <w:rsid w:val="00882AA4"/>
    <w:rsid w:val="008A0107"/>
    <w:rsid w:val="008A2CC0"/>
    <w:rsid w:val="008C22F2"/>
    <w:rsid w:val="008C3F6F"/>
    <w:rsid w:val="008D118A"/>
    <w:rsid w:val="00913B55"/>
    <w:rsid w:val="009234DE"/>
    <w:rsid w:val="00977787"/>
    <w:rsid w:val="009A31A4"/>
    <w:rsid w:val="009B566E"/>
    <w:rsid w:val="009D16A3"/>
    <w:rsid w:val="00A162BE"/>
    <w:rsid w:val="00A3189F"/>
    <w:rsid w:val="00A47D1F"/>
    <w:rsid w:val="00A6252C"/>
    <w:rsid w:val="00A871A3"/>
    <w:rsid w:val="00A871CD"/>
    <w:rsid w:val="00A91FD9"/>
    <w:rsid w:val="00AD7780"/>
    <w:rsid w:val="00AD78ED"/>
    <w:rsid w:val="00AE1844"/>
    <w:rsid w:val="00B13145"/>
    <w:rsid w:val="00B22AAB"/>
    <w:rsid w:val="00B23A4F"/>
    <w:rsid w:val="00B24905"/>
    <w:rsid w:val="00B27748"/>
    <w:rsid w:val="00B30B65"/>
    <w:rsid w:val="00B35B14"/>
    <w:rsid w:val="00B4068D"/>
    <w:rsid w:val="00B5557C"/>
    <w:rsid w:val="00B65AED"/>
    <w:rsid w:val="00B77AC0"/>
    <w:rsid w:val="00B80BB2"/>
    <w:rsid w:val="00B95BE5"/>
    <w:rsid w:val="00BB2EB3"/>
    <w:rsid w:val="00BC0BF3"/>
    <w:rsid w:val="00BC4DFE"/>
    <w:rsid w:val="00BD0B47"/>
    <w:rsid w:val="00BD1225"/>
    <w:rsid w:val="00BE502E"/>
    <w:rsid w:val="00C00459"/>
    <w:rsid w:val="00C17C60"/>
    <w:rsid w:val="00C36386"/>
    <w:rsid w:val="00C5515D"/>
    <w:rsid w:val="00C565B2"/>
    <w:rsid w:val="00C57CAE"/>
    <w:rsid w:val="00C6015A"/>
    <w:rsid w:val="00C604CF"/>
    <w:rsid w:val="00C93910"/>
    <w:rsid w:val="00CA5C55"/>
    <w:rsid w:val="00CB1941"/>
    <w:rsid w:val="00D03617"/>
    <w:rsid w:val="00D15748"/>
    <w:rsid w:val="00D258F0"/>
    <w:rsid w:val="00D57164"/>
    <w:rsid w:val="00D6257C"/>
    <w:rsid w:val="00D9128D"/>
    <w:rsid w:val="00D95FC9"/>
    <w:rsid w:val="00DA3822"/>
    <w:rsid w:val="00DB4A36"/>
    <w:rsid w:val="00DB6C6C"/>
    <w:rsid w:val="00DE160A"/>
    <w:rsid w:val="00DE71B3"/>
    <w:rsid w:val="00DF2682"/>
    <w:rsid w:val="00E0125D"/>
    <w:rsid w:val="00E107F5"/>
    <w:rsid w:val="00E14B63"/>
    <w:rsid w:val="00E31330"/>
    <w:rsid w:val="00E33CFC"/>
    <w:rsid w:val="00E460B0"/>
    <w:rsid w:val="00E63A48"/>
    <w:rsid w:val="00E656DF"/>
    <w:rsid w:val="00E74F81"/>
    <w:rsid w:val="00E77527"/>
    <w:rsid w:val="00E86C5D"/>
    <w:rsid w:val="00EB5EBB"/>
    <w:rsid w:val="00EC3F36"/>
    <w:rsid w:val="00EC665C"/>
    <w:rsid w:val="00EE0E18"/>
    <w:rsid w:val="00EE4750"/>
    <w:rsid w:val="00F3005C"/>
    <w:rsid w:val="00F30832"/>
    <w:rsid w:val="00F36BD8"/>
    <w:rsid w:val="00F36E7D"/>
    <w:rsid w:val="00F37B96"/>
    <w:rsid w:val="00F4361E"/>
    <w:rsid w:val="00F45668"/>
    <w:rsid w:val="00FB4200"/>
    <w:rsid w:val="00FF01D2"/>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Virsraksts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48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 uvlaka 3, uvlaka 31,Body Text Char1,Body Text Char Char,Body Text1"/>
    <w:basedOn w:val="Normal"/>
    <w:link w:val="BodyTextChar2"/>
    <w:rsid w:val="00BC0BF3"/>
    <w:pPr>
      <w:widowControl w:val="0"/>
      <w:spacing w:after="120"/>
    </w:pPr>
    <w:rPr>
      <w:rFonts w:ascii="RimTimes" w:hAnsi="RimTimes"/>
      <w:szCs w:val="20"/>
    </w:rPr>
  </w:style>
  <w:style w:type="character" w:customStyle="1" w:styleId="BodyTextChar">
    <w:name w:val="Body Text Char"/>
    <w:basedOn w:val="DefaultParagraphFont"/>
    <w:uiPriority w:val="99"/>
    <w:semiHidden/>
    <w:rsid w:val="00BC0BF3"/>
    <w:rPr>
      <w:rFonts w:ascii="Times New Roman" w:eastAsia="Times New Roman" w:hAnsi="Times New Roman" w:cs="Times New Roman"/>
      <w:sz w:val="24"/>
      <w:szCs w:val="24"/>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uiPriority w:val="99"/>
    <w:locked/>
    <w:rsid w:val="00BC0BF3"/>
    <w:rPr>
      <w:rFonts w:ascii="RimTimes" w:eastAsia="Times New Roman" w:hAnsi="RimTimes" w:cs="Times New Roman"/>
      <w:sz w:val="24"/>
      <w:szCs w:val="20"/>
    </w:rPr>
  </w:style>
  <w:style w:type="paragraph" w:styleId="BalloonText">
    <w:name w:val="Balloon Text"/>
    <w:basedOn w:val="Normal"/>
    <w:link w:val="BalloonTextChar"/>
    <w:uiPriority w:val="99"/>
    <w:semiHidden/>
    <w:unhideWhenUsed/>
    <w:rsid w:val="008D118A"/>
    <w:rPr>
      <w:rFonts w:ascii="Tahoma" w:hAnsi="Tahoma" w:cs="Tahoma"/>
      <w:sz w:val="16"/>
      <w:szCs w:val="16"/>
    </w:rPr>
  </w:style>
  <w:style w:type="character" w:customStyle="1" w:styleId="BalloonTextChar">
    <w:name w:val="Balloon Text Char"/>
    <w:basedOn w:val="DefaultParagraphFont"/>
    <w:link w:val="BalloonText"/>
    <w:uiPriority w:val="99"/>
    <w:semiHidden/>
    <w:rsid w:val="008D118A"/>
    <w:rPr>
      <w:rFonts w:ascii="Tahoma" w:eastAsia="Times New Roman" w:hAnsi="Tahoma" w:cs="Tahoma"/>
      <w:sz w:val="16"/>
      <w:szCs w:val="16"/>
    </w:rPr>
  </w:style>
  <w:style w:type="paragraph" w:customStyle="1" w:styleId="Punkts">
    <w:name w:val="Punkts"/>
    <w:basedOn w:val="Normal"/>
    <w:next w:val="Apakpunkts"/>
    <w:rsid w:val="00AD7780"/>
    <w:pPr>
      <w:numPr>
        <w:numId w:val="13"/>
      </w:numPr>
    </w:pPr>
    <w:rPr>
      <w:rFonts w:ascii="Arial" w:hAnsi="Arial"/>
      <w:b/>
      <w:sz w:val="20"/>
      <w:lang w:eastAsia="lv-LV"/>
    </w:rPr>
  </w:style>
  <w:style w:type="paragraph" w:customStyle="1" w:styleId="Apakpunkts">
    <w:name w:val="Apakšpunkts"/>
    <w:basedOn w:val="Normal"/>
    <w:rsid w:val="00AD7780"/>
    <w:pPr>
      <w:numPr>
        <w:ilvl w:val="1"/>
        <w:numId w:val="13"/>
      </w:numPr>
    </w:pPr>
    <w:rPr>
      <w:rFonts w:ascii="Arial" w:hAnsi="Arial"/>
      <w:b/>
      <w:sz w:val="20"/>
      <w:lang w:eastAsia="lv-LV"/>
    </w:rPr>
  </w:style>
  <w:style w:type="paragraph" w:customStyle="1" w:styleId="Paragrfs">
    <w:name w:val="Paragrāfs"/>
    <w:basedOn w:val="Normal"/>
    <w:next w:val="Normal"/>
    <w:rsid w:val="00AD7780"/>
    <w:pPr>
      <w:numPr>
        <w:ilvl w:val="2"/>
        <w:numId w:val="13"/>
      </w:numPr>
      <w:jc w:val="both"/>
    </w:pPr>
    <w:rPr>
      <w:rFonts w:ascii="Arial" w:hAnsi="Arial"/>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Virsraksts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48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 uvlaka 3, uvlaka 31,Body Text Char1,Body Text Char Char,Body Text1"/>
    <w:basedOn w:val="Normal"/>
    <w:link w:val="BodyTextChar2"/>
    <w:rsid w:val="00BC0BF3"/>
    <w:pPr>
      <w:widowControl w:val="0"/>
      <w:spacing w:after="120"/>
    </w:pPr>
    <w:rPr>
      <w:rFonts w:ascii="RimTimes" w:hAnsi="RimTimes"/>
      <w:szCs w:val="20"/>
    </w:rPr>
  </w:style>
  <w:style w:type="character" w:customStyle="1" w:styleId="BodyTextChar">
    <w:name w:val="Body Text Char"/>
    <w:basedOn w:val="DefaultParagraphFont"/>
    <w:uiPriority w:val="99"/>
    <w:semiHidden/>
    <w:rsid w:val="00BC0BF3"/>
    <w:rPr>
      <w:rFonts w:ascii="Times New Roman" w:eastAsia="Times New Roman" w:hAnsi="Times New Roman" w:cs="Times New Roman"/>
      <w:sz w:val="24"/>
      <w:szCs w:val="24"/>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uiPriority w:val="99"/>
    <w:locked/>
    <w:rsid w:val="00BC0BF3"/>
    <w:rPr>
      <w:rFonts w:ascii="RimTimes" w:eastAsia="Times New Roman" w:hAnsi="RimTimes" w:cs="Times New Roman"/>
      <w:sz w:val="24"/>
      <w:szCs w:val="20"/>
    </w:rPr>
  </w:style>
  <w:style w:type="paragraph" w:styleId="BalloonText">
    <w:name w:val="Balloon Text"/>
    <w:basedOn w:val="Normal"/>
    <w:link w:val="BalloonTextChar"/>
    <w:uiPriority w:val="99"/>
    <w:semiHidden/>
    <w:unhideWhenUsed/>
    <w:rsid w:val="008D118A"/>
    <w:rPr>
      <w:rFonts w:ascii="Tahoma" w:hAnsi="Tahoma" w:cs="Tahoma"/>
      <w:sz w:val="16"/>
      <w:szCs w:val="16"/>
    </w:rPr>
  </w:style>
  <w:style w:type="character" w:customStyle="1" w:styleId="BalloonTextChar">
    <w:name w:val="Balloon Text Char"/>
    <w:basedOn w:val="DefaultParagraphFont"/>
    <w:link w:val="BalloonText"/>
    <w:uiPriority w:val="99"/>
    <w:semiHidden/>
    <w:rsid w:val="008D118A"/>
    <w:rPr>
      <w:rFonts w:ascii="Tahoma" w:eastAsia="Times New Roman" w:hAnsi="Tahoma" w:cs="Tahoma"/>
      <w:sz w:val="16"/>
      <w:szCs w:val="16"/>
    </w:rPr>
  </w:style>
  <w:style w:type="paragraph" w:customStyle="1" w:styleId="Punkts">
    <w:name w:val="Punkts"/>
    <w:basedOn w:val="Normal"/>
    <w:next w:val="Apakpunkts"/>
    <w:rsid w:val="00AD7780"/>
    <w:pPr>
      <w:numPr>
        <w:numId w:val="13"/>
      </w:numPr>
    </w:pPr>
    <w:rPr>
      <w:rFonts w:ascii="Arial" w:hAnsi="Arial"/>
      <w:b/>
      <w:sz w:val="20"/>
      <w:lang w:eastAsia="lv-LV"/>
    </w:rPr>
  </w:style>
  <w:style w:type="paragraph" w:customStyle="1" w:styleId="Apakpunkts">
    <w:name w:val="Apakšpunkts"/>
    <w:basedOn w:val="Normal"/>
    <w:rsid w:val="00AD7780"/>
    <w:pPr>
      <w:numPr>
        <w:ilvl w:val="1"/>
        <w:numId w:val="13"/>
      </w:numPr>
    </w:pPr>
    <w:rPr>
      <w:rFonts w:ascii="Arial" w:hAnsi="Arial"/>
      <w:b/>
      <w:sz w:val="20"/>
      <w:lang w:eastAsia="lv-LV"/>
    </w:rPr>
  </w:style>
  <w:style w:type="paragraph" w:customStyle="1" w:styleId="Paragrfs">
    <w:name w:val="Paragrāfs"/>
    <w:basedOn w:val="Normal"/>
    <w:next w:val="Normal"/>
    <w:rsid w:val="00AD7780"/>
    <w:pPr>
      <w:numPr>
        <w:ilvl w:val="2"/>
        <w:numId w:val="13"/>
      </w:numPr>
      <w:jc w:val="both"/>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0366">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085802529">
      <w:bodyDiv w:val="1"/>
      <w:marLeft w:val="0"/>
      <w:marRight w:val="0"/>
      <w:marTop w:val="0"/>
      <w:marBottom w:val="0"/>
      <w:divBdr>
        <w:top w:val="none" w:sz="0" w:space="0" w:color="auto"/>
        <w:left w:val="none" w:sz="0" w:space="0" w:color="auto"/>
        <w:bottom w:val="none" w:sz="0" w:space="0" w:color="auto"/>
        <w:right w:val="none" w:sz="0" w:space="0" w:color="auto"/>
      </w:divBdr>
    </w:div>
    <w:div w:id="1781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10106</Words>
  <Characters>5761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121</cp:revision>
  <cp:lastPrinted>2017-03-07T10:30:00Z</cp:lastPrinted>
  <dcterms:created xsi:type="dcterms:W3CDTF">2015-03-19T13:27:00Z</dcterms:created>
  <dcterms:modified xsi:type="dcterms:W3CDTF">2017-03-15T09:01:00Z</dcterms:modified>
</cp:coreProperties>
</file>