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93" w:rsidRDefault="000D0D93" w:rsidP="000D0D93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0D0D93" w:rsidRDefault="000D0D93" w:rsidP="00BC6EE8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 w:rsidR="00BB451E" w:rsidRPr="00496CFA">
        <w:rPr>
          <w:b/>
        </w:rPr>
        <w:t xml:space="preserve">ATKĀRTOTS IEPIRKUMS </w:t>
      </w:r>
      <w:r w:rsidR="00BB451E">
        <w:rPr>
          <w:b/>
        </w:rPr>
        <w:t>–</w:t>
      </w:r>
      <w:r w:rsidR="00DE36F9">
        <w:rPr>
          <w:b/>
        </w:rPr>
        <w:t xml:space="preserve"> </w:t>
      </w:r>
      <w:r w:rsidR="00BC6EE8">
        <w:rPr>
          <w:b/>
          <w:sz w:val="28"/>
          <w:szCs w:val="28"/>
        </w:rPr>
        <w:t>Uzkopšanas pakalpojumu sniegšana</w:t>
      </w:r>
      <w:r>
        <w:rPr>
          <w:b/>
          <w:sz w:val="28"/>
          <w:szCs w:val="28"/>
        </w:rPr>
        <w:t>”</w:t>
      </w:r>
    </w:p>
    <w:p w:rsidR="000D0D93" w:rsidRDefault="00DE36F9" w:rsidP="000D0D93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C6EE8">
        <w:rPr>
          <w:b/>
          <w:sz w:val="28"/>
          <w:szCs w:val="28"/>
        </w:rPr>
        <w:t>ID.Nr. ĀND 2016/224</w:t>
      </w:r>
      <w:r w:rsidR="000D0D93">
        <w:rPr>
          <w:b/>
          <w:sz w:val="28"/>
          <w:szCs w:val="28"/>
        </w:rPr>
        <w:t>)</w:t>
      </w: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</w:pPr>
      <w:r>
        <w:t>iepirkuma komisijas sēdes</w:t>
      </w:r>
    </w:p>
    <w:p w:rsidR="000D0D93" w:rsidRDefault="000D0D93" w:rsidP="000D0D93">
      <w:pPr>
        <w:rPr>
          <w:sz w:val="8"/>
          <w:szCs w:val="8"/>
        </w:rPr>
      </w:pPr>
    </w:p>
    <w:p w:rsidR="000D0D93" w:rsidRDefault="000D0D93" w:rsidP="000D0D93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BC6EE8">
        <w:rPr>
          <w:b/>
        </w:rPr>
        <w:t xml:space="preserve"> Nr.05-30-2016/224</w:t>
      </w:r>
      <w:r>
        <w:rPr>
          <w:b/>
        </w:rPr>
        <w:t>-</w:t>
      </w:r>
      <w:r w:rsidR="00DF353D">
        <w:rPr>
          <w:b/>
        </w:rPr>
        <w:t>3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6208C5" w:rsidP="00873500">
            <w:pPr>
              <w:jc w:val="right"/>
            </w:pPr>
            <w:r>
              <w:rPr>
                <w:b/>
              </w:rPr>
              <w:t>2016</w:t>
            </w:r>
            <w:r w:rsidR="002716BB">
              <w:rPr>
                <w:b/>
              </w:rPr>
              <w:t xml:space="preserve">. gada </w:t>
            </w:r>
            <w:r w:rsidR="00873500">
              <w:rPr>
                <w:b/>
              </w:rPr>
              <w:t>27</w:t>
            </w:r>
            <w:r w:rsidR="00BB451E">
              <w:rPr>
                <w:b/>
              </w:rPr>
              <w:t>.</w:t>
            </w:r>
            <w:r w:rsidR="007E4787">
              <w:rPr>
                <w:b/>
              </w:rPr>
              <w:t>decembrī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5C585D" w:rsidP="00272811">
      <w:pPr>
        <w:pStyle w:val="Heading2"/>
        <w:ind w:firstLine="720"/>
        <w:rPr>
          <w:sz w:val="24"/>
        </w:rPr>
      </w:pPr>
      <w:r>
        <w:rPr>
          <w:sz w:val="24"/>
        </w:rPr>
        <w:t>Ko</w:t>
      </w:r>
      <w:r w:rsidR="006619A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DE36F9">
        <w:rPr>
          <w:sz w:val="24"/>
        </w:rPr>
        <w:t xml:space="preserve"> plkst. 10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272811" w:rsidTr="005C585D">
        <w:tc>
          <w:tcPr>
            <w:tcW w:w="3713" w:type="dxa"/>
          </w:tcPr>
          <w:p w:rsidR="00272811" w:rsidRDefault="005C585D">
            <w:pPr>
              <w:ind w:left="72" w:right="-694"/>
              <w:jc w:val="both"/>
            </w:pPr>
            <w:r>
              <w:t>Ko</w:t>
            </w:r>
            <w:r w:rsidR="006619A8">
              <w:t>misijas priekšsēdētājs</w:t>
            </w:r>
            <w:r w:rsidR="00272811">
              <w:t xml:space="preserve">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619A8" w:rsidRDefault="006619A8">
            <w:pPr>
              <w:jc w:val="both"/>
            </w:pPr>
            <w:r>
              <w:t>Artis Brūvers</w:t>
            </w:r>
          </w:p>
          <w:p w:rsidR="00E33CFC" w:rsidRDefault="0099277B">
            <w:pPr>
              <w:jc w:val="both"/>
            </w:pPr>
            <w:r>
              <w:t>Rita Šteina</w:t>
            </w:r>
          </w:p>
          <w:p w:rsidR="00542436" w:rsidRDefault="00542436">
            <w:pPr>
              <w:jc w:val="both"/>
            </w:pPr>
            <w:r>
              <w:t>Everita Kāpa</w:t>
            </w:r>
          </w:p>
          <w:p w:rsidR="007679B9" w:rsidRDefault="007679B9">
            <w:pPr>
              <w:jc w:val="both"/>
            </w:pPr>
            <w:r>
              <w:t>Uģis Dambis</w:t>
            </w:r>
          </w:p>
          <w:p w:rsidR="00D21CAD" w:rsidRDefault="007679B9" w:rsidP="008670C1">
            <w:pPr>
              <w:jc w:val="both"/>
            </w:pPr>
            <w:r>
              <w:t>Valērijs Bulāns</w:t>
            </w: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272811" w:rsidRDefault="00272811" w:rsidP="00272811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AC79BE">
      <w:pPr>
        <w:jc w:val="both"/>
      </w:pPr>
      <w:r>
        <w:rPr>
          <w:b/>
          <w:bCs/>
        </w:rPr>
        <w:t>Darba kārtībā:</w:t>
      </w:r>
    </w:p>
    <w:p w:rsidR="00272811" w:rsidRPr="00AC79BE" w:rsidRDefault="00873500" w:rsidP="00AC79BE">
      <w:pPr>
        <w:ind w:left="709"/>
        <w:jc w:val="both"/>
      </w:pPr>
      <w:r>
        <w:t>Grozījumu veikšana</w:t>
      </w:r>
      <w:r w:rsidR="007E4787">
        <w:t xml:space="preserve"> i</w:t>
      </w:r>
      <w:r w:rsidR="00272811">
        <w:t xml:space="preserve">epirkuma </w:t>
      </w:r>
      <w:r w:rsidR="000D0D93">
        <w:t>„</w:t>
      </w:r>
      <w:r w:rsidR="00BB451E" w:rsidRPr="00AC79BE">
        <w:t xml:space="preserve">ATKĀRTOTS IEPIRKUMS – </w:t>
      </w:r>
      <w:r w:rsidR="00BC6EE8">
        <w:t>Uzkopšanas pakalpojumu sniegšana</w:t>
      </w:r>
      <w:r w:rsidR="00560919">
        <w:t>” (ID.Nr</w:t>
      </w:r>
      <w:r w:rsidR="00542436">
        <w:t>.: ĀN</w:t>
      </w:r>
      <w:r w:rsidR="00496CFA">
        <w:t>D 2016/</w:t>
      </w:r>
      <w:r w:rsidR="00BC6EE8">
        <w:t>224</w:t>
      </w:r>
      <w:r w:rsidR="000D0D93">
        <w:t>)</w:t>
      </w:r>
      <w:r w:rsidR="00272811">
        <w:t xml:space="preserve"> </w:t>
      </w:r>
      <w:r w:rsidR="007E4787">
        <w:t>nolikum</w:t>
      </w:r>
      <w:r>
        <w:t>ā</w:t>
      </w:r>
      <w:r w:rsidR="00272811">
        <w:t>.</w:t>
      </w:r>
    </w:p>
    <w:p w:rsidR="00272811" w:rsidRDefault="00272811" w:rsidP="00272811">
      <w:pPr>
        <w:tabs>
          <w:tab w:val="num" w:pos="284"/>
        </w:tabs>
        <w:ind w:left="284" w:hanging="284"/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873500" w:rsidRPr="005A5EAA" w:rsidRDefault="007E4787" w:rsidP="002E43CD">
      <w:pPr>
        <w:pStyle w:val="ListParagraph"/>
        <w:numPr>
          <w:ilvl w:val="0"/>
          <w:numId w:val="4"/>
        </w:numPr>
        <w:spacing w:before="120" w:after="120"/>
        <w:ind w:left="709" w:hanging="709"/>
        <w:jc w:val="both"/>
        <w:rPr>
          <w:b/>
          <w:u w:val="single"/>
        </w:rPr>
      </w:pPr>
      <w:r>
        <w:t xml:space="preserve">A.Brūvers ziņo, ka </w:t>
      </w:r>
      <w:r w:rsidR="00873500">
        <w:t>ir saņemta SIA “</w:t>
      </w:r>
      <w:proofErr w:type="spellStart"/>
      <w:r w:rsidR="00873500">
        <w:t>Clean</w:t>
      </w:r>
      <w:proofErr w:type="spellEnd"/>
      <w:r w:rsidR="00873500">
        <w:t xml:space="preserve"> R” sūdzība par iepirkuma nolikumu, pieprasot izslēgt no nolikuma 7.5.punktu, kas </w:t>
      </w:r>
      <w:r w:rsidR="00873500">
        <w:t>SIA “</w:t>
      </w:r>
      <w:proofErr w:type="spellStart"/>
      <w:r w:rsidR="00873500">
        <w:t>Clean</w:t>
      </w:r>
      <w:proofErr w:type="spellEnd"/>
      <w:r w:rsidR="00873500">
        <w:t xml:space="preserve"> R”</w:t>
      </w:r>
      <w:r w:rsidR="00873500">
        <w:t xml:space="preserve"> ieskatā nepamatoti ierobežo konkurenci.</w:t>
      </w:r>
      <w:r w:rsidR="005A5EAA">
        <w:t xml:space="preserve"> </w:t>
      </w:r>
    </w:p>
    <w:p w:rsidR="005A5EAA" w:rsidRPr="00363E89" w:rsidRDefault="005A5EAA" w:rsidP="002E43CD">
      <w:pPr>
        <w:pStyle w:val="ListParagraph"/>
        <w:numPr>
          <w:ilvl w:val="0"/>
          <w:numId w:val="4"/>
        </w:numPr>
        <w:spacing w:before="120" w:after="120"/>
        <w:ind w:left="709" w:hanging="709"/>
        <w:jc w:val="both"/>
        <w:rPr>
          <w:b/>
          <w:u w:val="single"/>
        </w:rPr>
      </w:pPr>
      <w:r>
        <w:t xml:space="preserve">Komisija iepazīstas ar </w:t>
      </w:r>
      <w:r>
        <w:t>SIA “</w:t>
      </w:r>
      <w:proofErr w:type="spellStart"/>
      <w:r>
        <w:t>Clean</w:t>
      </w:r>
      <w:proofErr w:type="spellEnd"/>
      <w:r>
        <w:t xml:space="preserve"> R”</w:t>
      </w:r>
      <w:r>
        <w:t xml:space="preserve"> </w:t>
      </w:r>
      <w:r w:rsidR="009F1B20">
        <w:t xml:space="preserve">Iepirkumu uzraudzības birojam iesniegto </w:t>
      </w:r>
      <w:r>
        <w:t xml:space="preserve">sūdzību (2016.gada 23.decembra iesniegums Nr.0/1-2789). Komisija apspriež, ka piedāvājumu iesniegšana </w:t>
      </w:r>
      <w:r w:rsidR="009F1B20">
        <w:t>iepirkumā ir</w:t>
      </w:r>
      <w:r>
        <w:t xml:space="preserve"> paredzēta 2017.gada 6.janvārī, </w:t>
      </w:r>
      <w:r w:rsidR="009F1B20">
        <w:t xml:space="preserve">līdz ar to </w:t>
      </w:r>
      <w:r w:rsidR="009F1B20">
        <w:t>SIA “</w:t>
      </w:r>
      <w:proofErr w:type="spellStart"/>
      <w:r w:rsidR="009F1B20">
        <w:t>Clean</w:t>
      </w:r>
      <w:proofErr w:type="spellEnd"/>
      <w:r w:rsidR="009F1B20">
        <w:t xml:space="preserve"> R”</w:t>
      </w:r>
      <w:r w:rsidR="009F1B20">
        <w:t xml:space="preserve"> sūdzību ir iesnie</w:t>
      </w:r>
      <w:r w:rsidR="003A2170">
        <w:t>gusi</w:t>
      </w:r>
      <w:bookmarkStart w:id="0" w:name="_GoBack"/>
      <w:bookmarkEnd w:id="0"/>
      <w:r w:rsidR="009F1B20">
        <w:t xml:space="preserve"> pēdējā brīdī, tādējādi būtiski ietekmējot turpmākos procedūras termiņus </w:t>
      </w:r>
      <w:r w:rsidR="00544DD5">
        <w:t>jeb</w:t>
      </w:r>
      <w:r w:rsidR="009F1B20">
        <w:t>kurā no iespējamajiem variantiem. Komisija apspriež, ka šāda ieinteresētā pretendenta rīcība</w:t>
      </w:r>
      <w:r w:rsidR="00AF7203">
        <w:t xml:space="preserve">, lai gan ir tiesiska, tomēr </w:t>
      </w:r>
      <w:r w:rsidR="009F1B20">
        <w:t>ir ne</w:t>
      </w:r>
      <w:r w:rsidR="00AF7203">
        <w:t xml:space="preserve">racionāla un negodprātīga, ņemot vērā, ka attiecīgais nolikuma 7.5.punkta regulējums bija zināms visiem pretendentiem jau kopš iepirkuma izsludināšanas (17.novembris) un tiesisko interešu pārkāpuma gadījumā bija iespējama laicīga </w:t>
      </w:r>
      <w:r w:rsidR="00544DD5">
        <w:t xml:space="preserve">tā identificēšana, </w:t>
      </w:r>
      <w:r w:rsidR="00AF7203">
        <w:t xml:space="preserve">iesnieguma iesniegšana </w:t>
      </w:r>
      <w:r w:rsidR="00544DD5">
        <w:t xml:space="preserve">pašam pasūtītājam un grozījumu veikšana, neietekmējot </w:t>
      </w:r>
      <w:r w:rsidR="002A59F3">
        <w:t xml:space="preserve">iepirkuma procedūras termiņus. </w:t>
      </w:r>
    </w:p>
    <w:p w:rsidR="00363E89" w:rsidRPr="005D1129" w:rsidRDefault="00363E89" w:rsidP="002E43CD">
      <w:pPr>
        <w:pStyle w:val="ListParagraph"/>
        <w:numPr>
          <w:ilvl w:val="0"/>
          <w:numId w:val="4"/>
        </w:numPr>
        <w:spacing w:before="120" w:after="120"/>
        <w:ind w:left="709" w:hanging="709"/>
        <w:jc w:val="both"/>
        <w:rPr>
          <w:b/>
          <w:u w:val="single"/>
        </w:rPr>
      </w:pPr>
      <w:r>
        <w:t xml:space="preserve">Komisija </w:t>
      </w:r>
      <w:r w:rsidR="005D1129">
        <w:t xml:space="preserve">lemj dzēst </w:t>
      </w:r>
      <w:r w:rsidR="005D1129">
        <w:t>nolikuma 7.5.punktu</w:t>
      </w:r>
      <w:r w:rsidR="005D1129">
        <w:t>, tādējādi palielinot potenciālo pretendentu loku. Vienlaikus tiek lemts par termiņa pagarināšanu līdz 2017.gada 31.decembrim.</w:t>
      </w:r>
    </w:p>
    <w:p w:rsidR="005D1129" w:rsidRPr="005D1129" w:rsidRDefault="005D1129" w:rsidP="005D1129">
      <w:pPr>
        <w:pStyle w:val="ListParagraph"/>
        <w:spacing w:before="120" w:after="120"/>
        <w:ind w:left="709"/>
        <w:jc w:val="both"/>
        <w:rPr>
          <w:b/>
          <w:u w:val="single"/>
        </w:rPr>
      </w:pPr>
    </w:p>
    <w:p w:rsidR="00DA5764" w:rsidRDefault="00DA5764" w:rsidP="00DA5764">
      <w:pPr>
        <w:jc w:val="both"/>
        <w:rPr>
          <w:b/>
          <w:bCs/>
        </w:rPr>
      </w:pPr>
      <w:r>
        <w:rPr>
          <w:b/>
          <w:bCs/>
        </w:rPr>
        <w:t xml:space="preserve">Komisija </w:t>
      </w:r>
      <w:r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DA5764" w:rsidRDefault="00DA5764" w:rsidP="00DA5764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>
        <w:lastRenderedPageBreak/>
        <w:t>Veikt šādus grozījumus</w:t>
      </w:r>
      <w:r>
        <w:t xml:space="preserve"> iepirkuma „</w:t>
      </w:r>
      <w:r w:rsidRPr="00AC79BE">
        <w:t xml:space="preserve">ATKĀRTOTS IEPIRKUMS – </w:t>
      </w:r>
      <w:r>
        <w:t xml:space="preserve">Uzkopšanas pakalpojumu sniegšana” (ID.Nr.: ĀND 2016/224) </w:t>
      </w:r>
      <w:r>
        <w:t>nolikumā:</w:t>
      </w:r>
    </w:p>
    <w:p w:rsidR="005D1129" w:rsidRDefault="005D1129" w:rsidP="005D1129">
      <w:pPr>
        <w:pStyle w:val="ListParagraph"/>
        <w:spacing w:before="120" w:after="120"/>
        <w:ind w:left="709"/>
        <w:jc w:val="both"/>
      </w:pP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  <w:gridCol w:w="4961"/>
      </w:tblGrid>
      <w:tr w:rsidR="005D1129" w:rsidTr="00292891">
        <w:tc>
          <w:tcPr>
            <w:tcW w:w="851" w:type="dxa"/>
            <w:shd w:val="clear" w:color="auto" w:fill="EAF1DD" w:themeFill="accent3" w:themeFillTint="33"/>
          </w:tcPr>
          <w:p w:rsidR="005D1129" w:rsidRDefault="005D1129" w:rsidP="005D1129">
            <w:pPr>
              <w:pStyle w:val="ListParagraph"/>
              <w:spacing w:before="120" w:after="120"/>
              <w:ind w:left="0"/>
              <w:jc w:val="both"/>
            </w:pPr>
            <w:r>
              <w:t>P.k.</w:t>
            </w:r>
          </w:p>
        </w:tc>
        <w:tc>
          <w:tcPr>
            <w:tcW w:w="4537" w:type="dxa"/>
            <w:shd w:val="clear" w:color="auto" w:fill="EAF1DD" w:themeFill="accent3" w:themeFillTint="33"/>
          </w:tcPr>
          <w:p w:rsidR="005D1129" w:rsidRDefault="005D1129" w:rsidP="005D1129">
            <w:pPr>
              <w:pStyle w:val="ListParagraph"/>
              <w:spacing w:before="120" w:after="120"/>
              <w:ind w:left="0"/>
              <w:jc w:val="both"/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5D1129" w:rsidRDefault="00DA5764" w:rsidP="005D1129">
            <w:pPr>
              <w:pStyle w:val="ListParagraph"/>
              <w:spacing w:before="120" w:after="120"/>
              <w:ind w:left="0"/>
              <w:jc w:val="both"/>
            </w:pPr>
            <w:r>
              <w:t>Grozījumi</w:t>
            </w:r>
          </w:p>
        </w:tc>
      </w:tr>
      <w:tr w:rsidR="00DA5764" w:rsidTr="00292891">
        <w:tc>
          <w:tcPr>
            <w:tcW w:w="851" w:type="dxa"/>
            <w:shd w:val="clear" w:color="auto" w:fill="EAF1DD" w:themeFill="accent3" w:themeFillTint="33"/>
          </w:tcPr>
          <w:p w:rsidR="00DA5764" w:rsidRDefault="00DA5764" w:rsidP="00CE1B74">
            <w:pPr>
              <w:pStyle w:val="ListParagraph"/>
              <w:spacing w:before="120" w:after="120"/>
              <w:ind w:left="0"/>
              <w:jc w:val="both"/>
            </w:pPr>
            <w:r>
              <w:t xml:space="preserve">3.1. </w:t>
            </w:r>
          </w:p>
        </w:tc>
        <w:tc>
          <w:tcPr>
            <w:tcW w:w="4537" w:type="dxa"/>
          </w:tcPr>
          <w:p w:rsidR="00DA5764" w:rsidRPr="004E2F23" w:rsidRDefault="00DA5764" w:rsidP="00DA5764">
            <w:pPr>
              <w:suppressAutoHyphens/>
              <w:spacing w:before="120" w:after="120"/>
              <w:jc w:val="both"/>
            </w:pPr>
            <w:r w:rsidRPr="004E2F23">
              <w:t xml:space="preserve">Piedāvājums jāiesniedz līdz </w:t>
            </w:r>
            <w:r w:rsidRPr="004E2F23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E2F23">
              <w:rPr>
                <w:b/>
              </w:rPr>
              <w:t xml:space="preserve">.gada </w:t>
            </w:r>
            <w:r>
              <w:rPr>
                <w:b/>
              </w:rPr>
              <w:t>6.janvāra</w:t>
            </w:r>
            <w:r w:rsidRPr="004E2F23">
              <w:rPr>
                <w:b/>
              </w:rPr>
              <w:t xml:space="preserve"> plkst. 1</w:t>
            </w:r>
            <w:r>
              <w:rPr>
                <w:b/>
              </w:rPr>
              <w:t>1</w:t>
            </w:r>
            <w:r w:rsidRPr="004E2F23">
              <w:rPr>
                <w:b/>
              </w:rPr>
              <w:t>:00</w:t>
            </w:r>
            <w:r w:rsidRPr="004E2F23">
              <w:t>, iesniedzot personīgi Ādažu novada domē, Ādažos, Gaujas ielā 33A, 306.kabinetā (Kanceleja) 3.stāvā, vai atsūtot pa pastu. Pasta sūtījumam jābūt nogādātam norādītajā adresē līdz augstākminētajam termiņam.</w:t>
            </w:r>
          </w:p>
          <w:p w:rsidR="00DA5764" w:rsidRDefault="00DA5764" w:rsidP="00CE1B74">
            <w:pPr>
              <w:pStyle w:val="ListParagraph"/>
              <w:spacing w:before="120" w:after="120"/>
              <w:ind w:left="0"/>
              <w:jc w:val="both"/>
            </w:pPr>
          </w:p>
        </w:tc>
        <w:tc>
          <w:tcPr>
            <w:tcW w:w="4961" w:type="dxa"/>
          </w:tcPr>
          <w:p w:rsidR="002C1E0F" w:rsidRPr="004E2F23" w:rsidRDefault="002C1E0F" w:rsidP="002C1E0F">
            <w:pPr>
              <w:suppressAutoHyphens/>
              <w:spacing w:before="120" w:after="120"/>
              <w:jc w:val="both"/>
            </w:pPr>
            <w:r w:rsidRPr="004E2F23">
              <w:t xml:space="preserve">Piedāvājums jāiesniedz līdz </w:t>
            </w:r>
            <w:r w:rsidRPr="009B50C8">
              <w:rPr>
                <w:b/>
                <w:color w:val="FF0000"/>
              </w:rPr>
              <w:t>2017.gada 31.janvāra plkst. 10:00</w:t>
            </w:r>
            <w:r w:rsidRPr="004E2F23">
              <w:t>, iesniedzot personīgi Ādažu novada domē, Ādažos, Gaujas ielā 33A, 306.kabinetā (Kanceleja) 3.stāvā, vai atsūtot pa pastu. Pasta sūtījumam jābūt nogādātam norādītajā adresē līdz augstākminētajam termiņam.</w:t>
            </w:r>
            <w:r>
              <w:t xml:space="preserve"> </w:t>
            </w:r>
            <w:r w:rsidRPr="009B50C8">
              <w:rPr>
                <w:color w:val="FF0000"/>
                <w:sz w:val="20"/>
                <w:szCs w:val="20"/>
              </w:rPr>
              <w:t>(Ar grozījumiem, kas veikti 2016.gada 27.decembrī)</w:t>
            </w:r>
          </w:p>
          <w:p w:rsidR="00DA5764" w:rsidRDefault="00DA5764" w:rsidP="00CE1B74">
            <w:pPr>
              <w:pStyle w:val="ListParagraph"/>
              <w:spacing w:before="120" w:after="120"/>
              <w:ind w:left="0"/>
              <w:jc w:val="both"/>
            </w:pPr>
          </w:p>
        </w:tc>
      </w:tr>
      <w:tr w:rsidR="00DA5764" w:rsidTr="00292891">
        <w:tc>
          <w:tcPr>
            <w:tcW w:w="851" w:type="dxa"/>
            <w:shd w:val="clear" w:color="auto" w:fill="EAF1DD" w:themeFill="accent3" w:themeFillTint="33"/>
          </w:tcPr>
          <w:p w:rsidR="00DA5764" w:rsidRDefault="00B74A5D" w:rsidP="00CE1B74">
            <w:pPr>
              <w:pStyle w:val="ListParagraph"/>
              <w:spacing w:before="120" w:after="120"/>
              <w:ind w:left="0"/>
              <w:jc w:val="both"/>
            </w:pPr>
            <w:r>
              <w:t>5.1.</w:t>
            </w:r>
          </w:p>
        </w:tc>
        <w:tc>
          <w:tcPr>
            <w:tcW w:w="4537" w:type="dxa"/>
          </w:tcPr>
          <w:p w:rsidR="00B74A5D" w:rsidRPr="004E2F23" w:rsidRDefault="00B74A5D" w:rsidP="00B74A5D">
            <w:pPr>
              <w:tabs>
                <w:tab w:val="left" w:pos="567"/>
              </w:tabs>
              <w:suppressAutoHyphens/>
              <w:spacing w:before="120" w:after="120"/>
              <w:jc w:val="both"/>
            </w:pPr>
            <w:r w:rsidRPr="004E2F23">
              <w:t>Piedāvājums iesniedzams aizlīmētā, aizzīmogotā iepakojumā – 3 (trīs) eksemplāros (viens oriģināls un divas kopijas), klāt pievienojot visa piedāvājuma elektronisko versiju elektroniskajā datu nesējā. Uz piedāvājuma iepakojuma jābūt šādām norādēm:</w:t>
            </w:r>
          </w:p>
          <w:p w:rsidR="00B74A5D" w:rsidRPr="004E2F23" w:rsidRDefault="00B74A5D" w:rsidP="00B74A5D">
            <w:pPr>
              <w:numPr>
                <w:ilvl w:val="0"/>
                <w:numId w:val="7"/>
              </w:numPr>
              <w:suppressAutoHyphens/>
              <w:ind w:left="601" w:hanging="567"/>
              <w:jc w:val="both"/>
            </w:pPr>
            <w:r w:rsidRPr="004E2F23">
              <w:t>pasūtītāja nosaukums un adrese;</w:t>
            </w:r>
          </w:p>
          <w:p w:rsidR="00B74A5D" w:rsidRPr="004E2F23" w:rsidRDefault="00B74A5D" w:rsidP="00B74A5D">
            <w:pPr>
              <w:numPr>
                <w:ilvl w:val="0"/>
                <w:numId w:val="7"/>
              </w:numPr>
              <w:suppressAutoHyphens/>
              <w:ind w:left="601" w:hanging="567"/>
              <w:jc w:val="both"/>
            </w:pPr>
            <w:r w:rsidRPr="004E2F23">
              <w:t>Iepirkuma nosaukums un identifikācijas numurs;</w:t>
            </w:r>
          </w:p>
          <w:p w:rsidR="00B74A5D" w:rsidRPr="004E2F23" w:rsidRDefault="00B74A5D" w:rsidP="00B74A5D">
            <w:pPr>
              <w:numPr>
                <w:ilvl w:val="0"/>
                <w:numId w:val="7"/>
              </w:numPr>
              <w:suppressAutoHyphens/>
              <w:ind w:left="601" w:hanging="567"/>
              <w:jc w:val="both"/>
            </w:pPr>
            <w:r w:rsidRPr="004E2F23">
              <w:t>Atzīme „Neatvērt līdz 201</w:t>
            </w:r>
            <w:r>
              <w:t>7</w:t>
            </w:r>
            <w:r w:rsidRPr="004E2F23">
              <w:t xml:space="preserve">.gada </w:t>
            </w:r>
            <w:r>
              <w:t>6</w:t>
            </w:r>
            <w:r>
              <w:t>.janvāra</w:t>
            </w:r>
            <w:r w:rsidRPr="004E2F23">
              <w:t xml:space="preserve"> plkst. 1</w:t>
            </w:r>
            <w:r>
              <w:t>1</w:t>
            </w:r>
            <w:r w:rsidRPr="004E2F23">
              <w:t>:00”;</w:t>
            </w:r>
          </w:p>
          <w:p w:rsidR="00DA5764" w:rsidRDefault="00DA5764" w:rsidP="00CE1B74">
            <w:pPr>
              <w:pStyle w:val="ListParagraph"/>
              <w:spacing w:before="120" w:after="120"/>
              <w:ind w:left="0"/>
              <w:jc w:val="both"/>
            </w:pPr>
          </w:p>
        </w:tc>
        <w:tc>
          <w:tcPr>
            <w:tcW w:w="4961" w:type="dxa"/>
          </w:tcPr>
          <w:p w:rsidR="00B74A5D" w:rsidRPr="004E2F23" w:rsidRDefault="00B74A5D" w:rsidP="00B74A5D">
            <w:pPr>
              <w:tabs>
                <w:tab w:val="left" w:pos="567"/>
              </w:tabs>
              <w:suppressAutoHyphens/>
              <w:spacing w:before="120" w:after="120"/>
              <w:jc w:val="both"/>
            </w:pPr>
            <w:r w:rsidRPr="004E2F23">
              <w:t>Piedāvājums iesniedzams aizlīmētā, aizzīmogotā iepakojumā – 3 (trīs) eksemplāros (viens oriģināls un divas kopijas), klāt pievienojot visa piedāvājuma elektronisko versiju elektroniskajā datu nesējā. Uz piedāvājuma iepakojuma jābūt šādām norādēm:</w:t>
            </w:r>
          </w:p>
          <w:p w:rsidR="00B74A5D" w:rsidRPr="004E2F23" w:rsidRDefault="00B74A5D" w:rsidP="00B74A5D">
            <w:pPr>
              <w:numPr>
                <w:ilvl w:val="0"/>
                <w:numId w:val="7"/>
              </w:numPr>
              <w:suppressAutoHyphens/>
              <w:ind w:left="601" w:hanging="567"/>
              <w:jc w:val="both"/>
            </w:pPr>
            <w:r w:rsidRPr="004E2F23">
              <w:t>pasūtītāja nosaukums un adrese;</w:t>
            </w:r>
          </w:p>
          <w:p w:rsidR="00B74A5D" w:rsidRPr="004E2F23" w:rsidRDefault="00B74A5D" w:rsidP="00B74A5D">
            <w:pPr>
              <w:numPr>
                <w:ilvl w:val="0"/>
                <w:numId w:val="7"/>
              </w:numPr>
              <w:suppressAutoHyphens/>
              <w:ind w:left="601" w:hanging="567"/>
              <w:jc w:val="both"/>
            </w:pPr>
            <w:r w:rsidRPr="004E2F23">
              <w:t>Iepirkuma nosaukums un identifikācijas numurs;</w:t>
            </w:r>
          </w:p>
          <w:p w:rsidR="00B74A5D" w:rsidRPr="004E2F23" w:rsidRDefault="00B74A5D" w:rsidP="00B74A5D">
            <w:pPr>
              <w:numPr>
                <w:ilvl w:val="0"/>
                <w:numId w:val="7"/>
              </w:numPr>
              <w:suppressAutoHyphens/>
              <w:ind w:left="601" w:hanging="567"/>
              <w:jc w:val="both"/>
            </w:pPr>
            <w:r w:rsidRPr="004E2F23">
              <w:t xml:space="preserve">Atzīme „Neatvērt līdz </w:t>
            </w:r>
            <w:r w:rsidRPr="00B74A5D">
              <w:rPr>
                <w:color w:val="FF0000"/>
              </w:rPr>
              <w:t>2017.gada 31.janvāra plkst. 1</w:t>
            </w:r>
            <w:r w:rsidRPr="00B74A5D">
              <w:rPr>
                <w:color w:val="FF0000"/>
              </w:rPr>
              <w:t>0</w:t>
            </w:r>
            <w:r w:rsidRPr="00B74A5D">
              <w:rPr>
                <w:color w:val="FF0000"/>
              </w:rPr>
              <w:t>:00</w:t>
            </w:r>
            <w:r w:rsidRPr="004E2F23">
              <w:t>”;</w:t>
            </w:r>
          </w:p>
          <w:p w:rsidR="00DA5764" w:rsidRDefault="00B74A5D" w:rsidP="00CE1B74">
            <w:pPr>
              <w:pStyle w:val="ListParagraph"/>
              <w:spacing w:before="120" w:after="120"/>
              <w:ind w:left="0"/>
              <w:jc w:val="both"/>
            </w:pPr>
            <w:r w:rsidRPr="009B50C8">
              <w:rPr>
                <w:color w:val="FF0000"/>
                <w:sz w:val="20"/>
                <w:szCs w:val="20"/>
              </w:rPr>
              <w:t>(Ar grozījumiem, kas veikti 2016.gada 27.decembrī)</w:t>
            </w:r>
          </w:p>
        </w:tc>
      </w:tr>
      <w:tr w:rsidR="00DA5764" w:rsidTr="00292891">
        <w:tc>
          <w:tcPr>
            <w:tcW w:w="851" w:type="dxa"/>
            <w:shd w:val="clear" w:color="auto" w:fill="EAF1DD" w:themeFill="accent3" w:themeFillTint="33"/>
          </w:tcPr>
          <w:p w:rsidR="00DA5764" w:rsidRDefault="003C7995" w:rsidP="00CE1B74">
            <w:pPr>
              <w:pStyle w:val="ListParagraph"/>
              <w:spacing w:before="120" w:after="120"/>
              <w:ind w:left="0"/>
              <w:jc w:val="both"/>
            </w:pPr>
            <w:r>
              <w:t>7.5.</w:t>
            </w:r>
          </w:p>
        </w:tc>
        <w:tc>
          <w:tcPr>
            <w:tcW w:w="4537" w:type="dxa"/>
          </w:tcPr>
          <w:p w:rsidR="003C7995" w:rsidRPr="003C7995" w:rsidRDefault="003C7995" w:rsidP="003C7995">
            <w:pPr>
              <w:tabs>
                <w:tab w:val="num" w:pos="567"/>
              </w:tabs>
              <w:spacing w:before="120" w:after="120"/>
              <w:jc w:val="both"/>
              <w:rPr>
                <w:b/>
                <w:bCs/>
              </w:rPr>
            </w:pPr>
            <w:r w:rsidRPr="00A06D58">
              <w:t xml:space="preserve">Pretendentam iepriekšējo 3 (trīs) gadu laikā (2013., 2014., 2015.gadā, kā arī līdz piedāvājuma iesniegšanas termiņa beigām) ir pieredze vismaz </w:t>
            </w:r>
            <w:r>
              <w:t>1</w:t>
            </w:r>
            <w:r w:rsidRPr="00A06D58">
              <w:t xml:space="preserve"> (</w:t>
            </w:r>
            <w:r>
              <w:t>vienas</w:t>
            </w:r>
            <w:r w:rsidRPr="00A06D58">
              <w:t xml:space="preserve">) </w:t>
            </w:r>
            <w:r>
              <w:t>izglītības iestādes iekštelpu uzkopšanā, kur</w:t>
            </w:r>
            <w:r w:rsidRPr="00A06D58">
              <w:t xml:space="preserve">: </w:t>
            </w:r>
          </w:p>
          <w:p w:rsidR="003C7995" w:rsidRPr="00C452C3" w:rsidRDefault="003C7995" w:rsidP="003C7995">
            <w:pPr>
              <w:pStyle w:val="ListParagraph"/>
              <w:numPr>
                <w:ilvl w:val="0"/>
                <w:numId w:val="9"/>
              </w:numPr>
              <w:spacing w:before="120" w:after="120"/>
              <w:ind w:left="601" w:hanging="601"/>
              <w:jc w:val="both"/>
              <w:rPr>
                <w:b/>
                <w:bCs/>
              </w:rPr>
            </w:pPr>
            <w:r w:rsidRPr="00C452C3">
              <w:t xml:space="preserve">nodrošināta izglītības </w:t>
            </w:r>
            <w:r>
              <w:t xml:space="preserve">iestādes </w:t>
            </w:r>
            <w:r w:rsidRPr="00C452C3">
              <w:t>ēkas iekštelpu</w:t>
            </w:r>
            <w:r>
              <w:t xml:space="preserve"> </w:t>
            </w:r>
            <w:r w:rsidRPr="00C452C3">
              <w:t>uzkopšana ne mazāk kā 2 000,00 m</w:t>
            </w:r>
            <w:r w:rsidRPr="00C452C3">
              <w:rPr>
                <w:vertAlign w:val="superscript"/>
              </w:rPr>
              <w:t>2</w:t>
            </w:r>
            <w:r w:rsidRPr="00C452C3">
              <w:t xml:space="preserve"> (divi tūkstoši kvadrātmetri) apjomā; </w:t>
            </w:r>
          </w:p>
          <w:p w:rsidR="003C7995" w:rsidRPr="00801535" w:rsidRDefault="003C7995" w:rsidP="003C7995">
            <w:pPr>
              <w:pStyle w:val="ListParagraph"/>
              <w:numPr>
                <w:ilvl w:val="0"/>
                <w:numId w:val="9"/>
              </w:numPr>
              <w:spacing w:before="120" w:after="120"/>
              <w:ind w:left="601" w:hanging="601"/>
              <w:contextualSpacing w:val="0"/>
              <w:jc w:val="both"/>
              <w:rPr>
                <w:b/>
                <w:bCs/>
              </w:rPr>
            </w:pPr>
            <w:r w:rsidRPr="004E2F23">
              <w:t>uzkopšana nodrošināta nepārtraukti vismaz 12 (divpadsmit) mēnešus pēc kārtas</w:t>
            </w:r>
            <w:r>
              <w:t>.</w:t>
            </w:r>
          </w:p>
          <w:p w:rsidR="00DA5764" w:rsidRDefault="00DA5764" w:rsidP="00CE1B74">
            <w:pPr>
              <w:pStyle w:val="ListParagraph"/>
              <w:spacing w:before="120" w:after="120"/>
              <w:ind w:left="0"/>
              <w:jc w:val="both"/>
            </w:pPr>
          </w:p>
        </w:tc>
        <w:tc>
          <w:tcPr>
            <w:tcW w:w="4961" w:type="dxa"/>
          </w:tcPr>
          <w:p w:rsidR="00DA5764" w:rsidRDefault="007A7AC3" w:rsidP="00CE1B74">
            <w:pPr>
              <w:pStyle w:val="ListParagraph"/>
              <w:spacing w:before="120" w:after="120"/>
              <w:ind w:left="0"/>
              <w:jc w:val="both"/>
            </w:pPr>
            <w:r w:rsidRPr="007A7AC3">
              <w:rPr>
                <w:color w:val="FF0000"/>
              </w:rPr>
              <w:t xml:space="preserve">Dzēsts. </w:t>
            </w:r>
            <w:r w:rsidRPr="007A7AC3">
              <w:rPr>
                <w:color w:val="FF0000"/>
                <w:sz w:val="20"/>
                <w:szCs w:val="20"/>
              </w:rPr>
              <w:t>(Ar grozījumiem, kas veikti 2016.gada 27.decembrī)</w:t>
            </w:r>
          </w:p>
        </w:tc>
      </w:tr>
    </w:tbl>
    <w:p w:rsidR="00272811" w:rsidRDefault="00083E4E" w:rsidP="00272811">
      <w:pPr>
        <w:numPr>
          <w:ilvl w:val="0"/>
          <w:numId w:val="1"/>
        </w:numPr>
        <w:tabs>
          <w:tab w:val="num" w:pos="720"/>
        </w:tabs>
        <w:ind w:left="720" w:hanging="540"/>
        <w:jc w:val="both"/>
      </w:pPr>
      <w:r>
        <w:t>Publicēt iepirkuma</w:t>
      </w:r>
      <w:r w:rsidR="00272811">
        <w:t xml:space="preserve"> </w:t>
      </w:r>
      <w:r w:rsidR="00BC6EE8">
        <w:t>„</w:t>
      </w:r>
      <w:r w:rsidR="00BC6EE8" w:rsidRPr="00AC79BE">
        <w:t xml:space="preserve">ATKĀRTOTS IEPIRKUMS – </w:t>
      </w:r>
      <w:r w:rsidR="00BC6EE8">
        <w:t>Uzkopšanas pakalpojumu sniegšana” (ID.Nr.: ĀND 2016/224)</w:t>
      </w:r>
      <w:r w:rsidR="00BC7AF1">
        <w:t xml:space="preserve"> </w:t>
      </w:r>
      <w:r w:rsidR="00DF353D">
        <w:t xml:space="preserve">grozījumus </w:t>
      </w:r>
      <w:r>
        <w:t>Ādažu novada domes mājaslapā</w:t>
      </w:r>
      <w:r w:rsidR="00DF353D">
        <w:t>, kā arī ievietot paziņojumu IUB mājas</w:t>
      </w:r>
      <w:r w:rsidR="00292891">
        <w:t>l</w:t>
      </w:r>
      <w:r w:rsidR="00DF353D">
        <w:t>apā</w:t>
      </w:r>
      <w:r w:rsidR="00272811">
        <w:rPr>
          <w:i/>
        </w:rPr>
        <w:t>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A33A1E">
        <w:t>ekšsēdētājs</w:t>
      </w:r>
      <w:r w:rsidR="001A1438">
        <w:t xml:space="preserve"> sēdi slēdz plkst. 1</w:t>
      </w:r>
      <w:r w:rsidR="00DF353D">
        <w:t>1</w:t>
      </w:r>
      <w:r w:rsidR="007679B9">
        <w:t>:</w:t>
      </w:r>
      <w:r w:rsidR="00DF353D">
        <w:t>0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292891" w:rsidRDefault="00292891" w:rsidP="00292891">
      <w:pPr>
        <w:numPr>
          <w:ilvl w:val="0"/>
          <w:numId w:val="2"/>
        </w:numPr>
        <w:jc w:val="both"/>
      </w:pPr>
      <w:r>
        <w:t>Izdruka no ĀND mājaslapas.</w:t>
      </w:r>
    </w:p>
    <w:p w:rsidR="00292891" w:rsidRDefault="00292891" w:rsidP="00292891">
      <w:pPr>
        <w:numPr>
          <w:ilvl w:val="0"/>
          <w:numId w:val="2"/>
        </w:numPr>
        <w:jc w:val="both"/>
      </w:pPr>
      <w:r>
        <w:t xml:space="preserve">Izdruka no </w:t>
      </w:r>
      <w:r>
        <w:t>IUB</w:t>
      </w:r>
      <w:r>
        <w:t xml:space="preserve"> mājaslapas.</w:t>
      </w:r>
    </w:p>
    <w:p w:rsidR="00292891" w:rsidRDefault="00292891" w:rsidP="00292891">
      <w:pPr>
        <w:numPr>
          <w:ilvl w:val="0"/>
          <w:numId w:val="2"/>
        </w:numPr>
        <w:jc w:val="both"/>
      </w:pPr>
      <w:r>
        <w:t>SIA “</w:t>
      </w:r>
      <w:proofErr w:type="spellStart"/>
      <w:r>
        <w:t>Clean</w:t>
      </w:r>
      <w:proofErr w:type="spellEnd"/>
      <w:r>
        <w:t xml:space="preserve"> R”</w:t>
      </w:r>
      <w:r>
        <w:t xml:space="preserve"> iesniegums</w:t>
      </w:r>
      <w:r>
        <w:t>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272811" w:rsidRDefault="005C585D" w:rsidP="00272811">
      <w:pPr>
        <w:ind w:right="-694"/>
        <w:jc w:val="both"/>
      </w:pPr>
      <w:r>
        <w:t>K</w:t>
      </w:r>
      <w:r w:rsidR="00A33A1E">
        <w:t>omisijas priekšsēdētājs</w:t>
      </w:r>
      <w:r>
        <w:t>:</w:t>
      </w:r>
      <w:r w:rsidR="00A33A1E">
        <w:tab/>
      </w:r>
      <w:r>
        <w:t xml:space="preserve"> </w:t>
      </w:r>
      <w:r>
        <w:tab/>
      </w:r>
      <w:r w:rsidR="00272811">
        <w:t>_____________________</w:t>
      </w:r>
      <w:r w:rsidR="00272811">
        <w:tab/>
      </w:r>
      <w:r w:rsidR="00A33A1E">
        <w:t>A. Brūvers</w:t>
      </w:r>
      <w:r w:rsidR="00272811">
        <w:t xml:space="preserve"> </w:t>
      </w:r>
    </w:p>
    <w:p w:rsidR="00272811" w:rsidRDefault="00272811" w:rsidP="00272811">
      <w:pPr>
        <w:ind w:right="-694"/>
        <w:jc w:val="both"/>
      </w:pPr>
    </w:p>
    <w:p w:rsidR="00D57FA4" w:rsidRDefault="00272811" w:rsidP="00E77527">
      <w:pPr>
        <w:ind w:right="-694"/>
        <w:jc w:val="both"/>
      </w:pPr>
      <w:r>
        <w:t>Komisijas locekļi:</w:t>
      </w:r>
      <w:r>
        <w:tab/>
      </w:r>
      <w:r w:rsidR="00A33A1E">
        <w:tab/>
      </w:r>
      <w:r w:rsidR="008670C1">
        <w:tab/>
        <w:t>_____________________</w:t>
      </w:r>
      <w:r w:rsidR="008670C1">
        <w:tab/>
      </w:r>
      <w:r w:rsidR="00B67F6F">
        <w:t>R. Šteina</w:t>
      </w:r>
    </w:p>
    <w:p w:rsidR="00FE2C1A" w:rsidRDefault="00FE2C1A" w:rsidP="00E77527">
      <w:pPr>
        <w:ind w:right="-694"/>
        <w:jc w:val="both"/>
      </w:pPr>
    </w:p>
    <w:p w:rsidR="00FE2C1A" w:rsidRDefault="00FE2C1A" w:rsidP="00E77527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D57FA4" w:rsidRDefault="00D57FA4" w:rsidP="00E77527">
      <w:pPr>
        <w:ind w:right="-694"/>
        <w:jc w:val="both"/>
      </w:pPr>
    </w:p>
    <w:p w:rsidR="004671C4" w:rsidRDefault="004671C4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7679B9">
        <w:t>U. Dambis</w:t>
      </w:r>
    </w:p>
    <w:p w:rsidR="007679B9" w:rsidRDefault="007679B9" w:rsidP="00272811"/>
    <w:p w:rsidR="007679B9" w:rsidRDefault="007679B9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0B0B2D" w:rsidRDefault="000B0B2D" w:rsidP="00272811"/>
    <w:p w:rsidR="00B5557C" w:rsidRDefault="00B5557C" w:rsidP="00272811"/>
    <w:p w:rsidR="00272811" w:rsidRDefault="00B5557C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268C44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B067862"/>
    <w:multiLevelType w:val="multilevel"/>
    <w:tmpl w:val="217E60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6D4B"/>
    <w:multiLevelType w:val="hybridMultilevel"/>
    <w:tmpl w:val="42DEC4D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9642CD"/>
    <w:multiLevelType w:val="hybridMultilevel"/>
    <w:tmpl w:val="E884CBD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655178"/>
    <w:multiLevelType w:val="hybridMultilevel"/>
    <w:tmpl w:val="842643F2"/>
    <w:lvl w:ilvl="0" w:tplc="E80816C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73BA9"/>
    <w:rsid w:val="00083E4E"/>
    <w:rsid w:val="000B0B2D"/>
    <w:rsid w:val="000C04A9"/>
    <w:rsid w:val="000D0D93"/>
    <w:rsid w:val="000F054A"/>
    <w:rsid w:val="00146516"/>
    <w:rsid w:val="001A1438"/>
    <w:rsid w:val="001D5B3D"/>
    <w:rsid w:val="001E56B8"/>
    <w:rsid w:val="001F4577"/>
    <w:rsid w:val="0020090F"/>
    <w:rsid w:val="0026423A"/>
    <w:rsid w:val="002714A8"/>
    <w:rsid w:val="002716BB"/>
    <w:rsid w:val="00272811"/>
    <w:rsid w:val="00292891"/>
    <w:rsid w:val="002A1C45"/>
    <w:rsid w:val="002A54C7"/>
    <w:rsid w:val="002A59F3"/>
    <w:rsid w:val="002A72D5"/>
    <w:rsid w:val="002B3DE3"/>
    <w:rsid w:val="002C1E0F"/>
    <w:rsid w:val="002E43CD"/>
    <w:rsid w:val="003241BF"/>
    <w:rsid w:val="00347760"/>
    <w:rsid w:val="00363E89"/>
    <w:rsid w:val="003A2170"/>
    <w:rsid w:val="003C7995"/>
    <w:rsid w:val="003D78D5"/>
    <w:rsid w:val="003E4643"/>
    <w:rsid w:val="003E6729"/>
    <w:rsid w:val="004210DE"/>
    <w:rsid w:val="004361E3"/>
    <w:rsid w:val="0045036C"/>
    <w:rsid w:val="0045072A"/>
    <w:rsid w:val="00463D9A"/>
    <w:rsid w:val="004671C4"/>
    <w:rsid w:val="00487F2D"/>
    <w:rsid w:val="00496CFA"/>
    <w:rsid w:val="00542436"/>
    <w:rsid w:val="00544DD5"/>
    <w:rsid w:val="0055168C"/>
    <w:rsid w:val="00553B33"/>
    <w:rsid w:val="00560919"/>
    <w:rsid w:val="0056360D"/>
    <w:rsid w:val="00570800"/>
    <w:rsid w:val="00580D28"/>
    <w:rsid w:val="00596DDE"/>
    <w:rsid w:val="005A5EAA"/>
    <w:rsid w:val="005C585D"/>
    <w:rsid w:val="005D1129"/>
    <w:rsid w:val="005D6575"/>
    <w:rsid w:val="005D66B5"/>
    <w:rsid w:val="005E53F6"/>
    <w:rsid w:val="005F65BF"/>
    <w:rsid w:val="00600BFE"/>
    <w:rsid w:val="006208C5"/>
    <w:rsid w:val="00624590"/>
    <w:rsid w:val="0063175B"/>
    <w:rsid w:val="00650725"/>
    <w:rsid w:val="006619A8"/>
    <w:rsid w:val="006846A3"/>
    <w:rsid w:val="006B2C5B"/>
    <w:rsid w:val="006B3315"/>
    <w:rsid w:val="006B6501"/>
    <w:rsid w:val="006B68BA"/>
    <w:rsid w:val="007021A7"/>
    <w:rsid w:val="007079A4"/>
    <w:rsid w:val="007646F5"/>
    <w:rsid w:val="007679B9"/>
    <w:rsid w:val="00796779"/>
    <w:rsid w:val="007A7AC3"/>
    <w:rsid w:val="007E4787"/>
    <w:rsid w:val="007F129D"/>
    <w:rsid w:val="00805173"/>
    <w:rsid w:val="0083447E"/>
    <w:rsid w:val="00844A32"/>
    <w:rsid w:val="00863C22"/>
    <w:rsid w:val="008670C1"/>
    <w:rsid w:val="00873500"/>
    <w:rsid w:val="008A2CC0"/>
    <w:rsid w:val="008C3F6F"/>
    <w:rsid w:val="009633A7"/>
    <w:rsid w:val="00966ABB"/>
    <w:rsid w:val="00974833"/>
    <w:rsid w:val="0098179B"/>
    <w:rsid w:val="0099277B"/>
    <w:rsid w:val="009A0E31"/>
    <w:rsid w:val="009D16A3"/>
    <w:rsid w:val="009F1B20"/>
    <w:rsid w:val="00A331EA"/>
    <w:rsid w:val="00A33A1E"/>
    <w:rsid w:val="00A36E60"/>
    <w:rsid w:val="00A47D1F"/>
    <w:rsid w:val="00A871A3"/>
    <w:rsid w:val="00A871CD"/>
    <w:rsid w:val="00AA7F58"/>
    <w:rsid w:val="00AC79BE"/>
    <w:rsid w:val="00AE1844"/>
    <w:rsid w:val="00AF7203"/>
    <w:rsid w:val="00B22AAB"/>
    <w:rsid w:val="00B30B65"/>
    <w:rsid w:val="00B37F98"/>
    <w:rsid w:val="00B4068D"/>
    <w:rsid w:val="00B5557C"/>
    <w:rsid w:val="00B67F6F"/>
    <w:rsid w:val="00B74A5D"/>
    <w:rsid w:val="00B77A7E"/>
    <w:rsid w:val="00B80BB2"/>
    <w:rsid w:val="00B95BE5"/>
    <w:rsid w:val="00BB451E"/>
    <w:rsid w:val="00BC5788"/>
    <w:rsid w:val="00BC6EE8"/>
    <w:rsid w:val="00BC7AF1"/>
    <w:rsid w:val="00BD1225"/>
    <w:rsid w:val="00BE502E"/>
    <w:rsid w:val="00C03E6D"/>
    <w:rsid w:val="00C16BC6"/>
    <w:rsid w:val="00C46142"/>
    <w:rsid w:val="00C93910"/>
    <w:rsid w:val="00C96938"/>
    <w:rsid w:val="00CB1941"/>
    <w:rsid w:val="00CD2D19"/>
    <w:rsid w:val="00D21CAD"/>
    <w:rsid w:val="00D57FA4"/>
    <w:rsid w:val="00D70B3E"/>
    <w:rsid w:val="00DA5764"/>
    <w:rsid w:val="00DB4A36"/>
    <w:rsid w:val="00DB6C6C"/>
    <w:rsid w:val="00DE160A"/>
    <w:rsid w:val="00DE36F9"/>
    <w:rsid w:val="00DF353D"/>
    <w:rsid w:val="00E0125D"/>
    <w:rsid w:val="00E24841"/>
    <w:rsid w:val="00E33CFC"/>
    <w:rsid w:val="00E460B0"/>
    <w:rsid w:val="00E51B41"/>
    <w:rsid w:val="00E63A48"/>
    <w:rsid w:val="00E77527"/>
    <w:rsid w:val="00EB4253"/>
    <w:rsid w:val="00F8782B"/>
    <w:rsid w:val="00FB4200"/>
    <w:rsid w:val="00FE2C1A"/>
    <w:rsid w:val="00FF235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7E478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2E43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7E478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2E43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D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90</cp:revision>
  <dcterms:created xsi:type="dcterms:W3CDTF">2015-03-19T13:27:00Z</dcterms:created>
  <dcterms:modified xsi:type="dcterms:W3CDTF">2016-12-27T09:42:00Z</dcterms:modified>
</cp:coreProperties>
</file>