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11" w:rsidRDefault="00272811" w:rsidP="00272811">
      <w:pPr>
        <w:jc w:val="center"/>
        <w:rPr>
          <w:b/>
        </w:rPr>
      </w:pPr>
      <w:r>
        <w:rPr>
          <w:b/>
        </w:rPr>
        <w:t>Ādažu novada domes</w:t>
      </w:r>
    </w:p>
    <w:p w:rsidR="00272811" w:rsidRDefault="00272811" w:rsidP="00272811">
      <w:pPr>
        <w:jc w:val="center"/>
        <w:rPr>
          <w:b/>
        </w:rPr>
      </w:pPr>
      <w:r>
        <w:rPr>
          <w:b/>
        </w:rPr>
        <w:t>iepirkuma</w:t>
      </w:r>
    </w:p>
    <w:p w:rsidR="00272811" w:rsidRDefault="00272811" w:rsidP="00272811">
      <w:pPr>
        <w:jc w:val="center"/>
        <w:rPr>
          <w:b/>
          <w:sz w:val="8"/>
          <w:szCs w:val="8"/>
        </w:rPr>
      </w:pPr>
    </w:p>
    <w:p w:rsidR="00272811" w:rsidRDefault="00272811" w:rsidP="0015127C">
      <w:pPr>
        <w:shd w:val="clear" w:color="auto" w:fill="C2D69B" w:themeFill="accent3" w:themeFillTint="99"/>
        <w:jc w:val="center"/>
        <w:rPr>
          <w:b/>
          <w:sz w:val="28"/>
          <w:szCs w:val="28"/>
        </w:rPr>
      </w:pPr>
      <w:r>
        <w:rPr>
          <w:b/>
          <w:sz w:val="28"/>
          <w:szCs w:val="28"/>
        </w:rPr>
        <w:t>„</w:t>
      </w:r>
      <w:r w:rsidR="007D422C">
        <w:rPr>
          <w:rFonts w:ascii="Times New Roman Bold"/>
          <w:sz w:val="28"/>
          <w:szCs w:val="28"/>
        </w:rPr>
        <w:t xml:space="preserve">JAUNAS SKOLAS </w:t>
      </w:r>
      <w:r w:rsidR="007D422C">
        <w:rPr>
          <w:rFonts w:ascii="Times New Roman Bold"/>
          <w:sz w:val="28"/>
          <w:szCs w:val="28"/>
        </w:rPr>
        <w:t>Ē</w:t>
      </w:r>
      <w:r w:rsidR="007D422C">
        <w:rPr>
          <w:rFonts w:ascii="Times New Roman Bold"/>
          <w:sz w:val="28"/>
          <w:szCs w:val="28"/>
        </w:rPr>
        <w:t xml:space="preserve">KAS </w:t>
      </w:r>
      <w:r w:rsidR="007D422C">
        <w:rPr>
          <w:rFonts w:ascii="Times New Roman Bold"/>
          <w:sz w:val="28"/>
          <w:szCs w:val="28"/>
        </w:rPr>
        <w:t>Ā</w:t>
      </w:r>
      <w:r w:rsidR="007D422C">
        <w:rPr>
          <w:rFonts w:ascii="Times New Roman Bold"/>
          <w:sz w:val="28"/>
          <w:szCs w:val="28"/>
        </w:rPr>
        <w:t>DA</w:t>
      </w:r>
      <w:r w:rsidR="007D422C">
        <w:rPr>
          <w:rFonts w:ascii="Times New Roman Bold"/>
          <w:sz w:val="28"/>
          <w:szCs w:val="28"/>
        </w:rPr>
        <w:t>Ž</w:t>
      </w:r>
      <w:r w:rsidR="007D422C">
        <w:rPr>
          <w:rFonts w:ascii="Times New Roman Bold"/>
          <w:sz w:val="28"/>
          <w:szCs w:val="28"/>
        </w:rPr>
        <w:t>OS PROJEKT</w:t>
      </w:r>
      <w:r w:rsidR="007D422C">
        <w:rPr>
          <w:rFonts w:ascii="Times New Roman Bold"/>
          <w:sz w:val="28"/>
          <w:szCs w:val="28"/>
        </w:rPr>
        <w:t>ĒŠ</w:t>
      </w:r>
      <w:r w:rsidR="007D422C">
        <w:rPr>
          <w:rFonts w:ascii="Times New Roman Bold"/>
          <w:sz w:val="28"/>
          <w:szCs w:val="28"/>
        </w:rPr>
        <w:t>ANAS UN AUTORUZRAUDZ</w:t>
      </w:r>
      <w:r w:rsidR="007D422C">
        <w:rPr>
          <w:rFonts w:ascii="Times New Roman Bold"/>
          <w:sz w:val="28"/>
          <w:szCs w:val="28"/>
        </w:rPr>
        <w:t>Ī</w:t>
      </w:r>
      <w:r w:rsidR="007D422C">
        <w:rPr>
          <w:rFonts w:ascii="Times New Roman Bold"/>
          <w:sz w:val="28"/>
          <w:szCs w:val="28"/>
        </w:rPr>
        <w:t>BAS PAKALPOJUMI</w:t>
      </w:r>
      <w:r>
        <w:rPr>
          <w:b/>
          <w:sz w:val="28"/>
          <w:szCs w:val="28"/>
        </w:rPr>
        <w:t>”</w:t>
      </w:r>
    </w:p>
    <w:p w:rsidR="00272811" w:rsidRDefault="007D422C" w:rsidP="0015127C">
      <w:pPr>
        <w:shd w:val="clear" w:color="auto" w:fill="C2D69B" w:themeFill="accent3" w:themeFillTint="99"/>
        <w:jc w:val="center"/>
        <w:rPr>
          <w:b/>
          <w:sz w:val="28"/>
          <w:szCs w:val="28"/>
        </w:rPr>
      </w:pPr>
      <w:r>
        <w:rPr>
          <w:b/>
          <w:sz w:val="28"/>
          <w:szCs w:val="28"/>
        </w:rPr>
        <w:t>(ID.Nr. ĀND 2016/164</w:t>
      </w:r>
      <w:r w:rsidR="00272811">
        <w:rPr>
          <w:b/>
          <w:sz w:val="28"/>
          <w:szCs w:val="28"/>
        </w:rPr>
        <w:t>)</w:t>
      </w:r>
    </w:p>
    <w:p w:rsidR="00272811" w:rsidRDefault="00272811" w:rsidP="00272811">
      <w:pPr>
        <w:jc w:val="center"/>
        <w:rPr>
          <w:sz w:val="8"/>
          <w:szCs w:val="8"/>
        </w:rPr>
      </w:pPr>
    </w:p>
    <w:p w:rsidR="00272811" w:rsidRDefault="00272811" w:rsidP="00272811">
      <w:pPr>
        <w:jc w:val="center"/>
        <w:rPr>
          <w:sz w:val="8"/>
          <w:szCs w:val="8"/>
        </w:rPr>
      </w:pPr>
    </w:p>
    <w:p w:rsidR="00272811" w:rsidRDefault="00272811" w:rsidP="00272811">
      <w:pPr>
        <w:jc w:val="center"/>
      </w:pPr>
      <w:r>
        <w:t>iepirkuma komisijas sēdes</w:t>
      </w:r>
    </w:p>
    <w:p w:rsidR="00272811" w:rsidRDefault="00272811" w:rsidP="00272811">
      <w:pPr>
        <w:rPr>
          <w:sz w:val="8"/>
          <w:szCs w:val="8"/>
        </w:rPr>
      </w:pPr>
    </w:p>
    <w:p w:rsidR="00272811" w:rsidRDefault="00272811" w:rsidP="00272811">
      <w:pPr>
        <w:pStyle w:val="Heading1"/>
        <w:rPr>
          <w:b/>
          <w:bCs/>
          <w:sz w:val="24"/>
        </w:rPr>
      </w:pPr>
      <w:r>
        <w:rPr>
          <w:b/>
          <w:bCs/>
          <w:sz w:val="24"/>
        </w:rPr>
        <w:t>PROTOKOLS</w:t>
      </w:r>
      <w:r w:rsidR="007D422C">
        <w:rPr>
          <w:b/>
        </w:rPr>
        <w:t xml:space="preserve"> Nr.05-30-2016/164</w:t>
      </w:r>
      <w:r w:rsidR="006B2C5B">
        <w:rPr>
          <w:b/>
        </w:rPr>
        <w:t>-</w:t>
      </w:r>
      <w:r w:rsidR="00D12677">
        <w:rPr>
          <w:b/>
        </w:rPr>
        <w:t>5</w:t>
      </w:r>
    </w:p>
    <w:p w:rsidR="00272811" w:rsidRDefault="00272811" w:rsidP="00272811"/>
    <w:tbl>
      <w:tblPr>
        <w:tblW w:w="9322" w:type="dxa"/>
        <w:tblLook w:val="01E0" w:firstRow="1" w:lastRow="1" w:firstColumn="1" w:lastColumn="1" w:noHBand="0" w:noVBand="0"/>
      </w:tblPr>
      <w:tblGrid>
        <w:gridCol w:w="4261"/>
        <w:gridCol w:w="5061"/>
      </w:tblGrid>
      <w:tr w:rsidR="00272811" w:rsidTr="00272811">
        <w:tc>
          <w:tcPr>
            <w:tcW w:w="4261" w:type="dxa"/>
            <w:hideMark/>
          </w:tcPr>
          <w:p w:rsidR="00272811" w:rsidRDefault="00272811">
            <w:r>
              <w:t>Ādažos</w:t>
            </w:r>
          </w:p>
        </w:tc>
        <w:tc>
          <w:tcPr>
            <w:tcW w:w="5061" w:type="dxa"/>
            <w:hideMark/>
          </w:tcPr>
          <w:p w:rsidR="00272811" w:rsidRDefault="006208C5" w:rsidP="00D12677">
            <w:pPr>
              <w:jc w:val="right"/>
            </w:pPr>
            <w:r>
              <w:rPr>
                <w:b/>
              </w:rPr>
              <w:t>201</w:t>
            </w:r>
            <w:r w:rsidR="00386D31">
              <w:rPr>
                <w:b/>
              </w:rPr>
              <w:t>7</w:t>
            </w:r>
            <w:r w:rsidR="002716BB">
              <w:rPr>
                <w:b/>
              </w:rPr>
              <w:t xml:space="preserve">. gada </w:t>
            </w:r>
            <w:r w:rsidR="00D12677">
              <w:rPr>
                <w:b/>
              </w:rPr>
              <w:t>7.novembrī</w:t>
            </w:r>
          </w:p>
        </w:tc>
      </w:tr>
    </w:tbl>
    <w:p w:rsidR="00272811" w:rsidRDefault="00272811" w:rsidP="00272811">
      <w:pPr>
        <w:rPr>
          <w:b/>
          <w:bCs/>
        </w:rPr>
      </w:pPr>
      <w:r>
        <w:tab/>
      </w:r>
      <w:r>
        <w:tab/>
      </w:r>
      <w:r>
        <w:tab/>
      </w:r>
      <w:r>
        <w:tab/>
      </w:r>
      <w:r>
        <w:tab/>
      </w:r>
      <w:r>
        <w:tab/>
      </w:r>
      <w:r>
        <w:tab/>
      </w:r>
      <w:r>
        <w:tab/>
      </w:r>
      <w:r>
        <w:tab/>
        <w:t xml:space="preserve">          </w:t>
      </w:r>
    </w:p>
    <w:p w:rsidR="00272811" w:rsidRDefault="00272811" w:rsidP="00272811">
      <w:pPr>
        <w:pStyle w:val="Heading2"/>
        <w:rPr>
          <w:sz w:val="24"/>
        </w:rPr>
      </w:pPr>
      <w:r>
        <w:rPr>
          <w:b/>
          <w:bCs/>
          <w:sz w:val="24"/>
        </w:rPr>
        <w:t>Sēde sākās:</w:t>
      </w:r>
      <w:r>
        <w:rPr>
          <w:sz w:val="24"/>
        </w:rPr>
        <w:t xml:space="preserve"> </w:t>
      </w:r>
    </w:p>
    <w:p w:rsidR="00272811" w:rsidRDefault="00272811" w:rsidP="00272811">
      <w:pPr>
        <w:pStyle w:val="Heading2"/>
        <w:ind w:firstLine="720"/>
        <w:rPr>
          <w:sz w:val="24"/>
        </w:rPr>
      </w:pPr>
      <w:r>
        <w:rPr>
          <w:sz w:val="24"/>
        </w:rPr>
        <w:t>Komisijas priekšsēdētājs atklāj sēdi</w:t>
      </w:r>
      <w:r w:rsidR="00913B55">
        <w:rPr>
          <w:sz w:val="24"/>
        </w:rPr>
        <w:t xml:space="preserve"> plkst. 1</w:t>
      </w:r>
      <w:r w:rsidR="008B300D">
        <w:rPr>
          <w:sz w:val="24"/>
        </w:rPr>
        <w:t>0</w:t>
      </w:r>
      <w:r>
        <w:rPr>
          <w:sz w:val="24"/>
        </w:rPr>
        <w:t>.00.</w:t>
      </w:r>
    </w:p>
    <w:p w:rsidR="00272811" w:rsidRDefault="00272811" w:rsidP="00272811">
      <w:pPr>
        <w:jc w:val="both"/>
        <w:rPr>
          <w:b/>
          <w:bCs/>
        </w:rPr>
      </w:pPr>
    </w:p>
    <w:p w:rsidR="00272811" w:rsidRDefault="00272811" w:rsidP="00272811">
      <w:pPr>
        <w:jc w:val="both"/>
        <w:rPr>
          <w:b/>
          <w:bCs/>
        </w:rPr>
      </w:pPr>
      <w:r>
        <w:rPr>
          <w:b/>
          <w:bCs/>
        </w:rPr>
        <w:t>Sēdē piedalās:</w:t>
      </w:r>
    </w:p>
    <w:tbl>
      <w:tblPr>
        <w:tblW w:w="0" w:type="auto"/>
        <w:tblInd w:w="648" w:type="dxa"/>
        <w:tblLook w:val="01E0" w:firstRow="1" w:lastRow="1" w:firstColumn="1" w:lastColumn="1" w:noHBand="0" w:noVBand="0"/>
      </w:tblPr>
      <w:tblGrid>
        <w:gridCol w:w="3060"/>
        <w:gridCol w:w="4680"/>
      </w:tblGrid>
      <w:tr w:rsidR="00272811" w:rsidTr="00272811">
        <w:tc>
          <w:tcPr>
            <w:tcW w:w="3060" w:type="dxa"/>
          </w:tcPr>
          <w:p w:rsidR="00272811" w:rsidRDefault="00272811">
            <w:pPr>
              <w:ind w:left="72" w:right="-694"/>
              <w:jc w:val="both"/>
            </w:pPr>
            <w:r>
              <w:t xml:space="preserve">Komisijas priekšsēdētājs: </w:t>
            </w:r>
          </w:p>
          <w:p w:rsidR="00272811" w:rsidRDefault="00272811">
            <w:pPr>
              <w:ind w:left="72" w:right="-694"/>
              <w:jc w:val="both"/>
            </w:pPr>
            <w:r>
              <w:t>Komisijas locekļi:</w:t>
            </w:r>
          </w:p>
          <w:p w:rsidR="00272811" w:rsidRDefault="00272811">
            <w:pPr>
              <w:ind w:left="72" w:right="-694"/>
              <w:jc w:val="both"/>
            </w:pPr>
          </w:p>
          <w:p w:rsidR="00272811" w:rsidRDefault="00272811">
            <w:pPr>
              <w:ind w:left="72" w:right="-694"/>
              <w:jc w:val="both"/>
            </w:pPr>
          </w:p>
          <w:p w:rsidR="00272811" w:rsidRDefault="00272811">
            <w:pPr>
              <w:ind w:left="72" w:right="-694"/>
              <w:jc w:val="both"/>
            </w:pPr>
          </w:p>
          <w:p w:rsidR="00381801" w:rsidRDefault="00381801">
            <w:pPr>
              <w:ind w:left="72" w:right="-694"/>
              <w:jc w:val="both"/>
            </w:pPr>
          </w:p>
          <w:p w:rsidR="00386D31" w:rsidRDefault="00386D31">
            <w:pPr>
              <w:ind w:left="72" w:right="-694"/>
              <w:jc w:val="both"/>
            </w:pPr>
          </w:p>
          <w:p w:rsidR="00D15748" w:rsidRDefault="00386D31">
            <w:pPr>
              <w:ind w:left="72" w:right="-694"/>
              <w:jc w:val="both"/>
            </w:pPr>
            <w:r>
              <w:t>Eksperts</w:t>
            </w:r>
            <w:r w:rsidR="00381801">
              <w:t>:</w:t>
            </w:r>
          </w:p>
          <w:p w:rsidR="00D15748" w:rsidRDefault="00D15748">
            <w:pPr>
              <w:ind w:left="72" w:right="-694"/>
              <w:jc w:val="both"/>
            </w:pPr>
            <w:r>
              <w:t>Sekretāre:</w:t>
            </w:r>
          </w:p>
        </w:tc>
        <w:tc>
          <w:tcPr>
            <w:tcW w:w="4680" w:type="dxa"/>
            <w:hideMark/>
          </w:tcPr>
          <w:p w:rsidR="006B68BA" w:rsidRDefault="00272811" w:rsidP="00C93910">
            <w:pPr>
              <w:ind w:right="-694"/>
              <w:jc w:val="both"/>
            </w:pPr>
            <w:r>
              <w:t>Artis Brūvers</w:t>
            </w:r>
          </w:p>
          <w:p w:rsidR="00BE502E" w:rsidRDefault="0009587F">
            <w:pPr>
              <w:jc w:val="both"/>
            </w:pPr>
            <w:r>
              <w:t>Silvis Grīnbergs</w:t>
            </w:r>
          </w:p>
          <w:p w:rsidR="00E33CFC" w:rsidRDefault="00B23A4F">
            <w:pPr>
              <w:jc w:val="both"/>
            </w:pPr>
            <w:r>
              <w:t>Iveta Grīviņa</w:t>
            </w:r>
          </w:p>
          <w:p w:rsidR="00B23A4F" w:rsidRDefault="00B23A4F">
            <w:pPr>
              <w:jc w:val="both"/>
            </w:pPr>
            <w:r>
              <w:t>Everita Kāpa</w:t>
            </w:r>
          </w:p>
          <w:p w:rsidR="00B23A4F" w:rsidRDefault="00B23A4F">
            <w:pPr>
              <w:jc w:val="both"/>
            </w:pPr>
            <w:r>
              <w:t>Rita Šteina</w:t>
            </w:r>
          </w:p>
          <w:p w:rsidR="00993803" w:rsidRDefault="00993803">
            <w:pPr>
              <w:jc w:val="both"/>
            </w:pPr>
            <w:r>
              <w:t>Valērijs Bulāns</w:t>
            </w:r>
          </w:p>
          <w:p w:rsidR="00381801" w:rsidRDefault="00B23A4F">
            <w:pPr>
              <w:jc w:val="both"/>
            </w:pPr>
            <w:r>
              <w:t>Halfors Krasts</w:t>
            </w:r>
          </w:p>
          <w:p w:rsidR="00381801" w:rsidRDefault="00D15748">
            <w:pPr>
              <w:jc w:val="both"/>
            </w:pPr>
            <w:r>
              <w:t>Normunds Masaļskis</w:t>
            </w:r>
          </w:p>
          <w:p w:rsidR="00D15748" w:rsidRDefault="00D15748">
            <w:pPr>
              <w:jc w:val="both"/>
            </w:pPr>
            <w:r>
              <w:t>Alīna Liepiņa</w:t>
            </w:r>
            <w:r w:rsidR="003F2614">
              <w:t>-Jākobsone</w:t>
            </w:r>
          </w:p>
          <w:p w:rsidR="00272811" w:rsidRDefault="00272811" w:rsidP="00C93910">
            <w:pPr>
              <w:jc w:val="both"/>
            </w:pPr>
          </w:p>
        </w:tc>
      </w:tr>
    </w:tbl>
    <w:p w:rsidR="00272811" w:rsidRDefault="00272811" w:rsidP="00272811">
      <w:pPr>
        <w:rPr>
          <w:b/>
        </w:rPr>
      </w:pPr>
      <w:r>
        <w:rPr>
          <w:b/>
        </w:rPr>
        <w:t xml:space="preserve">Komisijas izveides pamats: </w:t>
      </w:r>
    </w:p>
    <w:p w:rsidR="00272811" w:rsidRDefault="00B27748" w:rsidP="00B27748">
      <w:pPr>
        <w:ind w:left="720"/>
        <w:jc w:val="both"/>
      </w:pPr>
      <w:r w:rsidRPr="0078627B">
        <w:t>Ādažu novada domes 2016.gada 8.marta</w:t>
      </w:r>
      <w:r>
        <w:t xml:space="preserve"> lēmums</w:t>
      </w:r>
      <w:r w:rsidRPr="0078627B">
        <w:t xml:space="preserve"> Nr.35 „Par grozījumiem Ādažu novada domes 2015.gada 22.decembra lēmumā Nr.259 „Par pašvaldības iepirkumu komisijas sastāvu iepirkumiem par jaunas skolas ēkas meta izstrādi, tehniskā projekta izstrādi un autoruzraudzības nodrošināšanu”</w:t>
      </w:r>
      <w:r>
        <w:t>”</w:t>
      </w:r>
      <w:r w:rsidR="0009587F">
        <w:t>.</w:t>
      </w:r>
    </w:p>
    <w:p w:rsidR="000C31E3" w:rsidRDefault="000C31E3" w:rsidP="00B27748">
      <w:pPr>
        <w:ind w:left="720"/>
        <w:jc w:val="both"/>
        <w:rPr>
          <w:b/>
          <w:bCs/>
        </w:rPr>
      </w:pPr>
    </w:p>
    <w:p w:rsidR="00272811" w:rsidRDefault="00272811" w:rsidP="00272811">
      <w:pPr>
        <w:jc w:val="both"/>
      </w:pPr>
      <w:r>
        <w:rPr>
          <w:b/>
          <w:bCs/>
        </w:rPr>
        <w:t>Darba kārtībā:</w:t>
      </w:r>
    </w:p>
    <w:p w:rsidR="00272811" w:rsidRDefault="00386D31" w:rsidP="00272811">
      <w:pPr>
        <w:tabs>
          <w:tab w:val="left" w:pos="993"/>
        </w:tabs>
        <w:ind w:left="709"/>
        <w:jc w:val="both"/>
      </w:pPr>
      <w:r>
        <w:t>Izmaiņu veikšanas akceptēšana</w:t>
      </w:r>
      <w:r w:rsidR="00DE26B3">
        <w:t xml:space="preserve"> iepirkum</w:t>
      </w:r>
      <w:r>
        <w:t>a</w:t>
      </w:r>
      <w:r w:rsidR="00272811">
        <w:t xml:space="preserve"> </w:t>
      </w:r>
      <w:r w:rsidR="00272811" w:rsidRPr="007D422C">
        <w:t>„</w:t>
      </w:r>
      <w:r w:rsidR="007D422C" w:rsidRPr="007D422C">
        <w:t>JAUNAS SKOLAS ĒKAS ĀDAŽOS PROJEKTĒŠANAS UN AUTORUZRAUDZĪBAS PAKALPOJUMI</w:t>
      </w:r>
      <w:r w:rsidR="006B68BA" w:rsidRPr="007D422C">
        <w:t>”</w:t>
      </w:r>
      <w:r w:rsidR="00E77527">
        <w:t xml:space="preserve"> </w:t>
      </w:r>
      <w:r w:rsidR="006208C5">
        <w:t>(ID.Nr.: ĀND 2016</w:t>
      </w:r>
      <w:r w:rsidR="006B68BA">
        <w:t>/</w:t>
      </w:r>
      <w:r w:rsidR="007D422C">
        <w:t>164</w:t>
      </w:r>
      <w:r w:rsidR="00272811">
        <w:t>)</w:t>
      </w:r>
      <w:r>
        <w:t xml:space="preserve"> rezultātā noslēgtajā </w:t>
      </w:r>
      <w:r w:rsidR="00B36942">
        <w:t xml:space="preserve">pakalpojuma </w:t>
      </w:r>
      <w:r>
        <w:t xml:space="preserve">līgumā </w:t>
      </w:r>
      <w:r w:rsidR="00B36942">
        <w:t xml:space="preserve">(līgums </w:t>
      </w:r>
      <w:r>
        <w:t>ar SIA “Nams”</w:t>
      </w:r>
      <w:r w:rsidR="00B36942">
        <w:t>)</w:t>
      </w:r>
      <w:r w:rsidR="00272811">
        <w:t>.</w:t>
      </w:r>
    </w:p>
    <w:p w:rsidR="000C31E3" w:rsidRDefault="000C31E3" w:rsidP="00272811">
      <w:pPr>
        <w:tabs>
          <w:tab w:val="left" w:pos="993"/>
        </w:tabs>
        <w:ind w:left="709"/>
        <w:jc w:val="both"/>
        <w:rPr>
          <w:b/>
        </w:rPr>
      </w:pPr>
    </w:p>
    <w:p w:rsidR="00272811" w:rsidRDefault="00272811" w:rsidP="00272811">
      <w:pPr>
        <w:jc w:val="both"/>
        <w:rPr>
          <w:b/>
        </w:rPr>
      </w:pPr>
      <w:r>
        <w:rPr>
          <w:b/>
        </w:rPr>
        <w:t>Darba gaita:</w:t>
      </w:r>
    </w:p>
    <w:p w:rsidR="00B36942" w:rsidRDefault="00633DE6" w:rsidP="002524FB">
      <w:pPr>
        <w:pStyle w:val="ListParagraph"/>
        <w:numPr>
          <w:ilvl w:val="0"/>
          <w:numId w:val="3"/>
        </w:numPr>
        <w:spacing w:before="120" w:after="120"/>
        <w:ind w:left="709" w:hanging="709"/>
        <w:contextualSpacing w:val="0"/>
        <w:jc w:val="both"/>
      </w:pPr>
      <w:r>
        <w:t xml:space="preserve">R.Šteina atgādina, ka </w:t>
      </w:r>
      <w:r w:rsidR="00AF7674">
        <w:t xml:space="preserve">iepirkuma </w:t>
      </w:r>
      <w:r w:rsidR="00AF7674" w:rsidRPr="007D422C">
        <w:t>„JAUNAS SKOLAS ĒKAS ĀDAŽOS PROJEKTĒŠANAS UN AUTORUZRAUDZĪBAS PAKALPOJUMI”</w:t>
      </w:r>
      <w:r w:rsidR="00AF7674">
        <w:t xml:space="preserve"> (ID.Nr.: ĀND 2016/164) rezultātā </w:t>
      </w:r>
      <w:r>
        <w:t>Ādažu novada dome 2016.gada 5.septembrī noslēdza līgumu Nr. JUR</w:t>
      </w:r>
      <w:r w:rsidR="00AF7674">
        <w:t xml:space="preserve"> 2016-09/692 ar SIA “Nams”.</w:t>
      </w:r>
    </w:p>
    <w:p w:rsidR="009C1B3C" w:rsidRPr="000F37BE" w:rsidRDefault="009C1B3C" w:rsidP="002524FB">
      <w:pPr>
        <w:pStyle w:val="ListParagraph"/>
        <w:numPr>
          <w:ilvl w:val="0"/>
          <w:numId w:val="3"/>
        </w:numPr>
        <w:spacing w:before="120" w:after="120"/>
        <w:ind w:left="709" w:hanging="709"/>
        <w:contextualSpacing w:val="0"/>
        <w:jc w:val="both"/>
      </w:pPr>
      <w:r>
        <w:t xml:space="preserve">R.Šteina ziņo </w:t>
      </w:r>
      <w:r w:rsidRPr="000F37BE">
        <w:t xml:space="preserve">par SIA “Nams” </w:t>
      </w:r>
      <w:r w:rsidR="000F37BE" w:rsidRPr="000F37BE">
        <w:t>2</w:t>
      </w:r>
      <w:r w:rsidRPr="000F37BE">
        <w:t>.</w:t>
      </w:r>
      <w:r w:rsidR="00506BEC" w:rsidRPr="000F37BE">
        <w:t>11</w:t>
      </w:r>
      <w:r w:rsidRPr="000F37BE">
        <w:t>.2017. vēstuli Nr.</w:t>
      </w:r>
      <w:r w:rsidR="00B170C2" w:rsidRPr="000F37BE">
        <w:t xml:space="preserve"> </w:t>
      </w:r>
      <w:r w:rsidR="000F37BE" w:rsidRPr="000F37BE">
        <w:t>110-1/S/17</w:t>
      </w:r>
      <w:r w:rsidR="00B170C2" w:rsidRPr="000F37BE">
        <w:t xml:space="preserve">, kurā lūgts veikt grozījumus iepirkuma darba uzdevumā. </w:t>
      </w:r>
    </w:p>
    <w:p w:rsidR="00B170C2" w:rsidRPr="000F37BE" w:rsidRDefault="00AF7674" w:rsidP="002524FB">
      <w:pPr>
        <w:pStyle w:val="ListParagraph"/>
        <w:numPr>
          <w:ilvl w:val="0"/>
          <w:numId w:val="3"/>
        </w:numPr>
        <w:spacing w:before="120" w:after="120"/>
        <w:ind w:left="709" w:hanging="709"/>
        <w:contextualSpacing w:val="0"/>
        <w:jc w:val="both"/>
      </w:pPr>
      <w:r w:rsidRPr="000F37BE">
        <w:t xml:space="preserve">R.Šteina ziņo par </w:t>
      </w:r>
      <w:r w:rsidR="0091345C" w:rsidRPr="000F37BE">
        <w:t xml:space="preserve">N.Masaļska (projekta vadītājs) </w:t>
      </w:r>
      <w:r w:rsidR="000F37BE" w:rsidRPr="000F37BE">
        <w:t>2</w:t>
      </w:r>
      <w:r w:rsidR="00506BEC" w:rsidRPr="000F37BE">
        <w:t>.11</w:t>
      </w:r>
      <w:r w:rsidR="0091345C" w:rsidRPr="000F37BE">
        <w:t>.</w:t>
      </w:r>
      <w:r w:rsidR="00506BEC" w:rsidRPr="000F37BE">
        <w:t xml:space="preserve"> </w:t>
      </w:r>
      <w:r w:rsidR="0091345C" w:rsidRPr="000F37BE">
        <w:t xml:space="preserve">iesniegumu, </w:t>
      </w:r>
      <w:r w:rsidR="009C1B3C" w:rsidRPr="000F37BE">
        <w:t>kurā lūgts</w:t>
      </w:r>
      <w:r w:rsidR="00B170C2" w:rsidRPr="000F37BE">
        <w:t xml:space="preserve"> akceptēt SIA “Nams” </w:t>
      </w:r>
      <w:r w:rsidR="000F37BE" w:rsidRPr="000F37BE">
        <w:t xml:space="preserve">2.11.2017. vēstulē Nr. 110-1/S/17 </w:t>
      </w:r>
      <w:r w:rsidR="00B170C2" w:rsidRPr="000F37BE">
        <w:t xml:space="preserve">pieprasīto grozījumu veikšanu. </w:t>
      </w:r>
    </w:p>
    <w:p w:rsidR="00EC72D2" w:rsidRDefault="0015160A" w:rsidP="00934A45">
      <w:pPr>
        <w:pStyle w:val="ListParagraph"/>
        <w:numPr>
          <w:ilvl w:val="0"/>
          <w:numId w:val="3"/>
        </w:numPr>
        <w:spacing w:before="120" w:after="120"/>
        <w:ind w:left="709" w:hanging="709"/>
        <w:contextualSpacing w:val="0"/>
        <w:jc w:val="both"/>
      </w:pPr>
      <w:r>
        <w:lastRenderedPageBreak/>
        <w:t xml:space="preserve">Komisija secina, ka </w:t>
      </w:r>
      <w:r w:rsidR="00B170C2">
        <w:t>N.Masaļska iesniegumā</w:t>
      </w:r>
      <w:r w:rsidR="00EC72D2">
        <w:t xml:space="preserve"> un SIA “Nams” iesniegumā</w:t>
      </w:r>
      <w:r w:rsidR="00B170C2">
        <w:t xml:space="preserve"> lūgts </w:t>
      </w:r>
      <w:r w:rsidR="00EC72D2">
        <w:t xml:space="preserve">grozīt projektēšanas tehnisko specifikāciju/darba uzdevumu (pielikumā piedāvātā jaunā redakcija). </w:t>
      </w:r>
      <w:r>
        <w:t>G</w:t>
      </w:r>
      <w:r w:rsidR="00E346B2">
        <w:t>rozījumi</w:t>
      </w:r>
      <w:r w:rsidR="00A126C5">
        <w:t xml:space="preserve"> galvenokārt</w:t>
      </w:r>
      <w:r w:rsidR="00E346B2">
        <w:t xml:space="preserve"> attiecas uz darba uzdevuma precizē</w:t>
      </w:r>
      <w:r w:rsidR="00934A45">
        <w:t xml:space="preserve">šanas nepieciešamību </w:t>
      </w:r>
      <w:r w:rsidR="00E346B2">
        <w:t xml:space="preserve">attiecībā uz </w:t>
      </w:r>
      <w:r w:rsidR="00A126C5">
        <w:t xml:space="preserve">decentralizētas </w:t>
      </w:r>
      <w:r w:rsidR="00934A45">
        <w:t>ventilācijas sistēm</w:t>
      </w:r>
      <w:r w:rsidR="00A126C5">
        <w:t>as</w:t>
      </w:r>
      <w:r w:rsidR="00934A45">
        <w:t xml:space="preserve"> </w:t>
      </w:r>
      <w:r w:rsidR="00A126C5">
        <w:t>projektēšanu,</w:t>
      </w:r>
      <w:r w:rsidR="00E346B2">
        <w:t xml:space="preserve"> kā arī veikti precizējumi, kuri izriet no pašvaldības speciālistu norādēm (kas ir atspoguļots projektēšan</w:t>
      </w:r>
      <w:r w:rsidR="00C2013B">
        <w:t>as sanāksmju protokolos):</w:t>
      </w:r>
    </w:p>
    <w:p w:rsidR="00C2013B" w:rsidRDefault="00C2013B" w:rsidP="00C2013B">
      <w:pPr>
        <w:pStyle w:val="ListParagraph"/>
        <w:spacing w:before="120" w:after="120"/>
        <w:ind w:left="709"/>
        <w:contextualSpacing w:val="0"/>
        <w:jc w:val="both"/>
      </w:pPr>
    </w:p>
    <w:p w:rsidR="00C2013B" w:rsidRDefault="00C2013B" w:rsidP="00C2013B">
      <w:pPr>
        <w:pStyle w:val="ListParagraph"/>
        <w:spacing w:before="120" w:after="120"/>
        <w:ind w:left="709"/>
        <w:contextualSpacing w:val="0"/>
        <w:jc w:val="both"/>
      </w:pPr>
    </w:p>
    <w:tbl>
      <w:tblPr>
        <w:tblStyle w:val="TableGrid"/>
        <w:tblW w:w="10490" w:type="dxa"/>
        <w:tblInd w:w="-1026" w:type="dxa"/>
        <w:tblLook w:val="04A0" w:firstRow="1" w:lastRow="0" w:firstColumn="1" w:lastColumn="0" w:noHBand="0" w:noVBand="1"/>
      </w:tblPr>
      <w:tblGrid>
        <w:gridCol w:w="996"/>
        <w:gridCol w:w="2835"/>
        <w:gridCol w:w="3683"/>
        <w:gridCol w:w="2976"/>
      </w:tblGrid>
      <w:tr w:rsidR="00C2013B" w:rsidRPr="00D42935" w:rsidTr="001A1CEF">
        <w:tc>
          <w:tcPr>
            <w:tcW w:w="996" w:type="dxa"/>
          </w:tcPr>
          <w:p w:rsidR="00C2013B" w:rsidRPr="00D42935" w:rsidRDefault="00C2013B" w:rsidP="00C2013B">
            <w:pPr>
              <w:pStyle w:val="ListParagraph"/>
              <w:spacing w:before="120" w:after="120"/>
              <w:ind w:left="0"/>
              <w:contextualSpacing w:val="0"/>
              <w:jc w:val="center"/>
              <w:rPr>
                <w:b/>
                <w:sz w:val="22"/>
                <w:szCs w:val="22"/>
              </w:rPr>
            </w:pPr>
            <w:r w:rsidRPr="00D42935">
              <w:rPr>
                <w:b/>
                <w:sz w:val="22"/>
                <w:szCs w:val="22"/>
              </w:rPr>
              <w:t>Nr.</w:t>
            </w:r>
          </w:p>
        </w:tc>
        <w:tc>
          <w:tcPr>
            <w:tcW w:w="2835" w:type="dxa"/>
          </w:tcPr>
          <w:p w:rsidR="00C2013B" w:rsidRPr="00D42935" w:rsidRDefault="00C2013B" w:rsidP="00C2013B">
            <w:pPr>
              <w:pStyle w:val="ListParagraph"/>
              <w:spacing w:before="120" w:after="120"/>
              <w:ind w:left="0"/>
              <w:contextualSpacing w:val="0"/>
              <w:jc w:val="center"/>
              <w:rPr>
                <w:b/>
                <w:sz w:val="22"/>
                <w:szCs w:val="22"/>
              </w:rPr>
            </w:pPr>
            <w:r w:rsidRPr="00D42935">
              <w:rPr>
                <w:b/>
                <w:sz w:val="22"/>
                <w:szCs w:val="22"/>
              </w:rPr>
              <w:t>Līdzšinējā redakcija</w:t>
            </w:r>
          </w:p>
        </w:tc>
        <w:tc>
          <w:tcPr>
            <w:tcW w:w="3683" w:type="dxa"/>
          </w:tcPr>
          <w:p w:rsidR="00C2013B" w:rsidRPr="00D42935" w:rsidRDefault="00C2013B" w:rsidP="00C2013B">
            <w:pPr>
              <w:pStyle w:val="ListParagraph"/>
              <w:spacing w:before="120" w:after="120"/>
              <w:ind w:left="0"/>
              <w:contextualSpacing w:val="0"/>
              <w:jc w:val="center"/>
              <w:rPr>
                <w:b/>
                <w:sz w:val="22"/>
                <w:szCs w:val="22"/>
              </w:rPr>
            </w:pPr>
            <w:r w:rsidRPr="00D42935">
              <w:rPr>
                <w:b/>
                <w:sz w:val="22"/>
                <w:szCs w:val="22"/>
              </w:rPr>
              <w:t>Labojums</w:t>
            </w:r>
          </w:p>
        </w:tc>
        <w:tc>
          <w:tcPr>
            <w:tcW w:w="2976" w:type="dxa"/>
          </w:tcPr>
          <w:p w:rsidR="00C2013B" w:rsidRPr="00EE6D6E" w:rsidRDefault="00C2013B" w:rsidP="00957C14">
            <w:pPr>
              <w:pStyle w:val="ListParagraph"/>
              <w:spacing w:before="120" w:after="120"/>
              <w:ind w:left="0"/>
              <w:contextualSpacing w:val="0"/>
              <w:jc w:val="center"/>
              <w:rPr>
                <w:b/>
                <w:sz w:val="22"/>
                <w:szCs w:val="22"/>
              </w:rPr>
            </w:pPr>
            <w:r w:rsidRPr="00EE6D6E">
              <w:rPr>
                <w:b/>
                <w:sz w:val="22"/>
                <w:szCs w:val="22"/>
              </w:rPr>
              <w:t>Piezīmes</w:t>
            </w:r>
            <w:r w:rsidR="00433754" w:rsidRPr="00EE6D6E">
              <w:rPr>
                <w:b/>
                <w:sz w:val="22"/>
                <w:szCs w:val="22"/>
              </w:rPr>
              <w:t xml:space="preserve"> (</w:t>
            </w:r>
            <w:r w:rsidR="00433754" w:rsidRPr="00EE6D6E">
              <w:rPr>
                <w:sz w:val="22"/>
                <w:szCs w:val="22"/>
              </w:rPr>
              <w:t xml:space="preserve">N.Masaļska </w:t>
            </w:r>
            <w:r w:rsidR="004A327D" w:rsidRPr="00EE6D6E">
              <w:rPr>
                <w:sz w:val="22"/>
                <w:szCs w:val="22"/>
              </w:rPr>
              <w:t>komentāri)</w:t>
            </w:r>
          </w:p>
        </w:tc>
      </w:tr>
      <w:tr w:rsidR="00C2013B" w:rsidRPr="00D42935" w:rsidTr="001A1CEF">
        <w:tc>
          <w:tcPr>
            <w:tcW w:w="996" w:type="dxa"/>
          </w:tcPr>
          <w:p w:rsidR="00C2013B" w:rsidRPr="00D42935" w:rsidRDefault="002A178D" w:rsidP="00C2013B">
            <w:pPr>
              <w:pStyle w:val="ListParagraph"/>
              <w:spacing w:before="120" w:after="120"/>
              <w:ind w:left="0"/>
              <w:contextualSpacing w:val="0"/>
              <w:jc w:val="both"/>
              <w:rPr>
                <w:sz w:val="22"/>
                <w:szCs w:val="22"/>
              </w:rPr>
            </w:pPr>
            <w:r w:rsidRPr="00D42935">
              <w:rPr>
                <w:sz w:val="22"/>
                <w:szCs w:val="22"/>
              </w:rPr>
              <w:t>20.3.1.</w:t>
            </w:r>
          </w:p>
        </w:tc>
        <w:tc>
          <w:tcPr>
            <w:tcW w:w="2835" w:type="dxa"/>
          </w:tcPr>
          <w:p w:rsidR="001150E2" w:rsidRPr="00D42935" w:rsidRDefault="001150E2" w:rsidP="001150E2">
            <w:pPr>
              <w:jc w:val="both"/>
              <w:rPr>
                <w:sz w:val="22"/>
                <w:szCs w:val="22"/>
              </w:rPr>
            </w:pPr>
            <w:r w:rsidRPr="00D42935">
              <w:rPr>
                <w:color w:val="000000"/>
                <w:sz w:val="22"/>
                <w:szCs w:val="22"/>
                <w:shd w:val="clear" w:color="auto" w:fill="FFFFFF"/>
              </w:rPr>
              <w:t xml:space="preserve">Ventilācijas sistēma ir jāprojektē atbilstoši LVS 13779:2007, iekštelpu, kurās pastāvīgi </w:t>
            </w:r>
            <w:proofErr w:type="spellStart"/>
            <w:r w:rsidRPr="00D42935">
              <w:rPr>
                <w:color w:val="000000"/>
                <w:sz w:val="22"/>
                <w:szCs w:val="22"/>
                <w:shd w:val="clear" w:color="auto" w:fill="FFFFFF"/>
              </w:rPr>
              <w:t>uzturus</w:t>
            </w:r>
            <w:proofErr w:type="spellEnd"/>
            <w:r w:rsidRPr="00D42935">
              <w:rPr>
                <w:color w:val="000000"/>
                <w:sz w:val="22"/>
                <w:szCs w:val="22"/>
                <w:shd w:val="clear" w:color="auto" w:fill="FFFFFF"/>
              </w:rPr>
              <w:t xml:space="preserve"> cilvēki, klimata kritērijiem jāatbilst B kategorijai saskaņā ar standartu LVS CR 1752, bet ventilācijas iekārtām ir jāatbilst Eiropas Komisijas regulai Nr.1253/2014.</w:t>
            </w:r>
          </w:p>
          <w:p w:rsidR="00C2013B" w:rsidRPr="00D42935" w:rsidRDefault="00C2013B" w:rsidP="00C2157F">
            <w:pPr>
              <w:pStyle w:val="NormalJustified"/>
              <w:rPr>
                <w:sz w:val="22"/>
                <w:szCs w:val="22"/>
              </w:rPr>
            </w:pPr>
          </w:p>
        </w:tc>
        <w:tc>
          <w:tcPr>
            <w:tcW w:w="3683" w:type="dxa"/>
          </w:tcPr>
          <w:p w:rsidR="00C2013B" w:rsidRPr="00D42935" w:rsidRDefault="002A178D" w:rsidP="00E552C3">
            <w:pPr>
              <w:pStyle w:val="ListParagraph"/>
              <w:spacing w:before="120" w:after="120"/>
              <w:ind w:left="0"/>
              <w:contextualSpacing w:val="0"/>
              <w:jc w:val="both"/>
              <w:rPr>
                <w:sz w:val="22"/>
                <w:szCs w:val="22"/>
              </w:rPr>
            </w:pPr>
            <w:r w:rsidRPr="00D42935">
              <w:rPr>
                <w:color w:val="000000"/>
                <w:sz w:val="22"/>
                <w:szCs w:val="22"/>
                <w:shd w:val="clear" w:color="auto" w:fill="FFFFFF"/>
              </w:rPr>
              <w:t xml:space="preserve">Ventilācijas sistēma ir jāprojektē atbilstoši LVS 13779:2007, iekštelpu, kurās pastāvīgi </w:t>
            </w:r>
            <w:proofErr w:type="spellStart"/>
            <w:r w:rsidRPr="00D42935">
              <w:rPr>
                <w:color w:val="000000"/>
                <w:sz w:val="22"/>
                <w:szCs w:val="22"/>
                <w:shd w:val="clear" w:color="auto" w:fill="FFFFFF"/>
              </w:rPr>
              <w:t>uzturus</w:t>
            </w:r>
            <w:proofErr w:type="spellEnd"/>
            <w:r w:rsidRPr="00D42935">
              <w:rPr>
                <w:color w:val="000000"/>
                <w:sz w:val="22"/>
                <w:szCs w:val="22"/>
                <w:shd w:val="clear" w:color="auto" w:fill="FFFFFF"/>
              </w:rPr>
              <w:t xml:space="preserve"> cilvēki, klimata kritērijiem jāatbilst B kategorijai saskaņā ar standartu LVS CR 1752, bet ventilācijas iekārtām ir jāatbilst Eiropas Komisijas regulai Nr.1253/2014. </w:t>
            </w:r>
            <w:r w:rsidRPr="00D42935">
              <w:rPr>
                <w:color w:val="000000"/>
                <w:sz w:val="22"/>
                <w:szCs w:val="22"/>
                <w:highlight w:val="cyan"/>
                <w:shd w:val="clear" w:color="auto" w:fill="FFFFFF"/>
              </w:rPr>
              <w:t xml:space="preserve">un/vai Nr. </w:t>
            </w:r>
            <w:proofErr w:type="spellStart"/>
            <w:r w:rsidRPr="00D42935">
              <w:rPr>
                <w:color w:val="000000"/>
                <w:sz w:val="22"/>
                <w:szCs w:val="22"/>
                <w:highlight w:val="cyan"/>
                <w:shd w:val="clear" w:color="auto" w:fill="FFFFFF"/>
              </w:rPr>
              <w:t>ErP</w:t>
            </w:r>
            <w:proofErr w:type="spellEnd"/>
            <w:r w:rsidRPr="00D42935">
              <w:rPr>
                <w:color w:val="000000"/>
                <w:sz w:val="22"/>
                <w:szCs w:val="22"/>
                <w:highlight w:val="cyan"/>
                <w:shd w:val="clear" w:color="auto" w:fill="FFFFFF"/>
              </w:rPr>
              <w:t xml:space="preserve"> 2015</w:t>
            </w:r>
            <w:proofErr w:type="gramStart"/>
            <w:r w:rsidRPr="00D42935">
              <w:rPr>
                <w:color w:val="000000"/>
                <w:sz w:val="22"/>
                <w:szCs w:val="22"/>
                <w:highlight w:val="cyan"/>
                <w:shd w:val="clear" w:color="auto" w:fill="FFFFFF"/>
              </w:rPr>
              <w:t xml:space="preserve"> .</w:t>
            </w:r>
            <w:proofErr w:type="gramEnd"/>
          </w:p>
        </w:tc>
        <w:tc>
          <w:tcPr>
            <w:tcW w:w="2976" w:type="dxa"/>
          </w:tcPr>
          <w:p w:rsidR="00C2013B" w:rsidRPr="00EE6D6E" w:rsidRDefault="002A178D" w:rsidP="00C2013B">
            <w:pPr>
              <w:pStyle w:val="ListParagraph"/>
              <w:spacing w:before="120" w:after="120"/>
              <w:ind w:left="0"/>
              <w:contextualSpacing w:val="0"/>
              <w:jc w:val="both"/>
              <w:rPr>
                <w:sz w:val="22"/>
                <w:szCs w:val="22"/>
              </w:rPr>
            </w:pPr>
            <w:r w:rsidRPr="00EE6D6E">
              <w:rPr>
                <w:sz w:val="22"/>
                <w:szCs w:val="22"/>
              </w:rPr>
              <w:t xml:space="preserve">EK regula Nr.1253/2014 tika apstiprināta </w:t>
            </w:r>
            <w:r w:rsidRPr="00EE6D6E">
              <w:rPr>
                <w:sz w:val="22"/>
                <w:szCs w:val="22"/>
                <w:u w:val="single"/>
              </w:rPr>
              <w:t>07.07.2014.</w:t>
            </w:r>
            <w:r w:rsidRPr="00EE6D6E">
              <w:rPr>
                <w:sz w:val="22"/>
                <w:szCs w:val="22"/>
              </w:rPr>
              <w:t xml:space="preserve">, bet projektēšanas laikā tika izdota jauna regula – Nr. </w:t>
            </w:r>
            <w:proofErr w:type="spellStart"/>
            <w:r w:rsidRPr="00EE6D6E">
              <w:rPr>
                <w:sz w:val="22"/>
                <w:szCs w:val="22"/>
              </w:rPr>
              <w:t>ErP</w:t>
            </w:r>
            <w:proofErr w:type="spellEnd"/>
            <w:r w:rsidRPr="00EE6D6E">
              <w:rPr>
                <w:sz w:val="22"/>
                <w:szCs w:val="22"/>
              </w:rPr>
              <w:t xml:space="preserve"> 2015 (apstiprināta </w:t>
            </w:r>
            <w:r w:rsidRPr="00EE6D6E">
              <w:rPr>
                <w:sz w:val="22"/>
                <w:szCs w:val="22"/>
                <w:u w:val="single"/>
              </w:rPr>
              <w:t>17.11.2016.</w:t>
            </w:r>
            <w:r w:rsidRPr="00EE6D6E">
              <w:rPr>
                <w:sz w:val="22"/>
                <w:szCs w:val="22"/>
              </w:rPr>
              <w:t>), kura t.sk. paredz energoefektivitātes uzlabošanai atļauju pielietot iekārtas ar iebūvētu dzesēšanas un siltumsūkņa kompresora loku.</w:t>
            </w:r>
          </w:p>
        </w:tc>
      </w:tr>
      <w:tr w:rsidR="00C2013B" w:rsidRPr="00D42935" w:rsidTr="001A1CEF">
        <w:tc>
          <w:tcPr>
            <w:tcW w:w="996" w:type="dxa"/>
          </w:tcPr>
          <w:p w:rsidR="00C2013B" w:rsidRPr="00D42935" w:rsidRDefault="00433754" w:rsidP="00C2013B">
            <w:pPr>
              <w:pStyle w:val="ListParagraph"/>
              <w:spacing w:before="120" w:after="120"/>
              <w:ind w:left="0"/>
              <w:contextualSpacing w:val="0"/>
              <w:jc w:val="both"/>
              <w:rPr>
                <w:sz w:val="22"/>
                <w:szCs w:val="22"/>
              </w:rPr>
            </w:pPr>
            <w:r w:rsidRPr="00D42935">
              <w:rPr>
                <w:sz w:val="22"/>
                <w:szCs w:val="22"/>
              </w:rPr>
              <w:t>20.3.2.</w:t>
            </w:r>
          </w:p>
        </w:tc>
        <w:tc>
          <w:tcPr>
            <w:tcW w:w="2835" w:type="dxa"/>
          </w:tcPr>
          <w:p w:rsidR="00C2157F" w:rsidRPr="00D42935" w:rsidRDefault="00C2157F" w:rsidP="00C2157F">
            <w:pPr>
              <w:pStyle w:val="Heading2"/>
              <w:keepNext w:val="0"/>
              <w:spacing w:before="120"/>
              <w:outlineLvl w:val="1"/>
              <w:rPr>
                <w:rFonts w:eastAsia="Cambria"/>
                <w:b/>
                <w:kern w:val="1"/>
                <w:sz w:val="22"/>
                <w:szCs w:val="22"/>
                <w:lang w:eastAsia="lv-LV"/>
              </w:rPr>
            </w:pPr>
            <w:r w:rsidRPr="00D42935">
              <w:rPr>
                <w:rFonts w:eastAsia="Cambria"/>
                <w:kern w:val="1"/>
                <w:sz w:val="22"/>
                <w:szCs w:val="22"/>
                <w:lang w:eastAsia="lv-LV"/>
              </w:rPr>
              <w:t>Sagatavojot Būvprojektu, ir jāpieņem sekojoši gaisa aprēķinu parametri:</w:t>
            </w:r>
          </w:p>
          <w:p w:rsidR="00C2157F" w:rsidRPr="00D42935" w:rsidRDefault="00C2157F" w:rsidP="001150E2">
            <w:pPr>
              <w:pStyle w:val="NormalJustified"/>
              <w:numPr>
                <w:ilvl w:val="0"/>
                <w:numId w:val="11"/>
              </w:numPr>
              <w:tabs>
                <w:tab w:val="left" w:pos="34"/>
              </w:tabs>
              <w:ind w:left="34" w:firstLine="0"/>
              <w:rPr>
                <w:sz w:val="22"/>
                <w:szCs w:val="22"/>
              </w:rPr>
            </w:pPr>
            <w:r w:rsidRPr="00D42935">
              <w:rPr>
                <w:sz w:val="22"/>
                <w:szCs w:val="22"/>
              </w:rPr>
              <w:t xml:space="preserve">ārējie: vasarā +27 </w:t>
            </w:r>
            <w:r w:rsidRPr="00D42935">
              <w:rPr>
                <w:sz w:val="22"/>
                <w:szCs w:val="22"/>
              </w:rPr>
              <w:sym w:font="Symbol" w:char="F0B0"/>
            </w:r>
            <w:r w:rsidRPr="00D42935">
              <w:rPr>
                <w:sz w:val="22"/>
                <w:szCs w:val="22"/>
              </w:rPr>
              <w:t xml:space="preserve">C; RH 70 %, ziemā –20,7 </w:t>
            </w:r>
            <w:r w:rsidRPr="00D42935">
              <w:rPr>
                <w:sz w:val="22"/>
                <w:szCs w:val="22"/>
              </w:rPr>
              <w:sym w:font="Symbol" w:char="F0B0"/>
            </w:r>
            <w:r w:rsidRPr="00D42935">
              <w:rPr>
                <w:sz w:val="22"/>
                <w:szCs w:val="22"/>
              </w:rPr>
              <w:t>C;</w:t>
            </w:r>
          </w:p>
          <w:p w:rsidR="00C2157F" w:rsidRPr="00D42935" w:rsidRDefault="00C2157F" w:rsidP="001150E2">
            <w:pPr>
              <w:pStyle w:val="NormalJustified"/>
              <w:numPr>
                <w:ilvl w:val="0"/>
                <w:numId w:val="11"/>
              </w:numPr>
              <w:tabs>
                <w:tab w:val="left" w:pos="34"/>
              </w:tabs>
              <w:ind w:left="34" w:firstLine="0"/>
              <w:rPr>
                <w:sz w:val="22"/>
                <w:szCs w:val="22"/>
              </w:rPr>
            </w:pPr>
            <w:r w:rsidRPr="00D42935">
              <w:rPr>
                <w:sz w:val="22"/>
                <w:szCs w:val="22"/>
              </w:rPr>
              <w:t xml:space="preserve">iekšējie: vasarā +24 +/-2 </w:t>
            </w:r>
            <w:r w:rsidRPr="00D42935">
              <w:rPr>
                <w:sz w:val="22"/>
                <w:szCs w:val="22"/>
              </w:rPr>
              <w:sym w:font="Symbol" w:char="F0B0"/>
            </w:r>
            <w:r w:rsidRPr="00D42935">
              <w:rPr>
                <w:sz w:val="22"/>
                <w:szCs w:val="22"/>
              </w:rPr>
              <w:t xml:space="preserve">C, ziemā +20 +/- 2 </w:t>
            </w:r>
            <w:r w:rsidRPr="00D42935">
              <w:rPr>
                <w:sz w:val="22"/>
                <w:szCs w:val="22"/>
              </w:rPr>
              <w:sym w:font="Symbol" w:char="F0B0"/>
            </w:r>
            <w:r w:rsidRPr="00D42935">
              <w:rPr>
                <w:sz w:val="22"/>
                <w:szCs w:val="22"/>
              </w:rPr>
              <w:t>C; RH 45+/- 7-8%; atbilstoši telpu funkcijām pēc normatīva;</w:t>
            </w:r>
          </w:p>
          <w:p w:rsidR="002A178D" w:rsidRPr="00D42935" w:rsidRDefault="002A178D" w:rsidP="001150E2">
            <w:pPr>
              <w:pStyle w:val="NormalJustified"/>
              <w:tabs>
                <w:tab w:val="left" w:pos="176"/>
              </w:tabs>
              <w:ind w:left="177"/>
              <w:rPr>
                <w:sz w:val="22"/>
                <w:szCs w:val="22"/>
              </w:rPr>
            </w:pPr>
          </w:p>
        </w:tc>
        <w:tc>
          <w:tcPr>
            <w:tcW w:w="3683" w:type="dxa"/>
          </w:tcPr>
          <w:p w:rsidR="00433754" w:rsidRPr="00D42935" w:rsidRDefault="00433754" w:rsidP="00433754">
            <w:pPr>
              <w:pStyle w:val="ListParagraph"/>
              <w:spacing w:before="120" w:after="120"/>
              <w:ind w:left="0"/>
              <w:contextualSpacing w:val="0"/>
              <w:jc w:val="both"/>
              <w:rPr>
                <w:rFonts w:eastAsia="Cambria"/>
                <w:kern w:val="1"/>
                <w:sz w:val="22"/>
                <w:szCs w:val="22"/>
                <w:lang w:eastAsia="lv-LV"/>
              </w:rPr>
            </w:pPr>
            <w:r w:rsidRPr="00D42935">
              <w:rPr>
                <w:rFonts w:eastAsia="Cambria"/>
                <w:kern w:val="1"/>
                <w:sz w:val="22"/>
                <w:szCs w:val="22"/>
                <w:lang w:eastAsia="lv-LV"/>
              </w:rPr>
              <w:t xml:space="preserve">Sagatavojot Būvprojektu, </w:t>
            </w:r>
            <w:r w:rsidRPr="00D42935">
              <w:rPr>
                <w:rFonts w:eastAsia="Cambria"/>
                <w:kern w:val="1"/>
                <w:sz w:val="22"/>
                <w:szCs w:val="22"/>
                <w:highlight w:val="cyan"/>
                <w:lang w:eastAsia="lv-LV"/>
              </w:rPr>
              <w:t>ventilācijas sistēmai</w:t>
            </w:r>
            <w:r w:rsidRPr="00D42935">
              <w:rPr>
                <w:rFonts w:eastAsia="Cambria"/>
                <w:kern w:val="1"/>
                <w:sz w:val="22"/>
                <w:szCs w:val="22"/>
                <w:lang w:eastAsia="lv-LV"/>
              </w:rPr>
              <w:t xml:space="preserve"> ir jāpieņem sekojoši gaisa aprēķinu parametri:</w:t>
            </w:r>
          </w:p>
          <w:p w:rsidR="00433754" w:rsidRPr="00D42935" w:rsidRDefault="00433754" w:rsidP="001150E2">
            <w:pPr>
              <w:pStyle w:val="NormalJustified"/>
              <w:numPr>
                <w:ilvl w:val="0"/>
                <w:numId w:val="11"/>
              </w:numPr>
              <w:tabs>
                <w:tab w:val="left" w:pos="33"/>
              </w:tabs>
              <w:ind w:left="33" w:firstLine="1"/>
              <w:rPr>
                <w:sz w:val="22"/>
                <w:szCs w:val="22"/>
              </w:rPr>
            </w:pPr>
            <w:r w:rsidRPr="00D42935">
              <w:rPr>
                <w:sz w:val="22"/>
                <w:szCs w:val="22"/>
              </w:rPr>
              <w:t xml:space="preserve">ārējie: vasarā +27 </w:t>
            </w:r>
            <w:r w:rsidRPr="00D42935">
              <w:rPr>
                <w:sz w:val="22"/>
                <w:szCs w:val="22"/>
              </w:rPr>
              <w:sym w:font="Symbol" w:char="F0B0"/>
            </w:r>
            <w:r w:rsidRPr="00D42935">
              <w:rPr>
                <w:sz w:val="22"/>
                <w:szCs w:val="22"/>
              </w:rPr>
              <w:t xml:space="preserve">C; RH 70 %, ziemā –20,7 </w:t>
            </w:r>
            <w:r w:rsidRPr="00D42935">
              <w:rPr>
                <w:sz w:val="22"/>
                <w:szCs w:val="22"/>
              </w:rPr>
              <w:sym w:font="Symbol" w:char="F0B0"/>
            </w:r>
            <w:r w:rsidRPr="00D42935">
              <w:rPr>
                <w:sz w:val="22"/>
                <w:szCs w:val="22"/>
              </w:rPr>
              <w:t>C;</w:t>
            </w:r>
          </w:p>
          <w:p w:rsidR="00433754" w:rsidRPr="00D42935" w:rsidRDefault="00433754" w:rsidP="001150E2">
            <w:pPr>
              <w:pStyle w:val="NormalJustified"/>
              <w:numPr>
                <w:ilvl w:val="0"/>
                <w:numId w:val="11"/>
              </w:numPr>
              <w:tabs>
                <w:tab w:val="left" w:pos="33"/>
              </w:tabs>
              <w:ind w:left="33" w:firstLine="1"/>
              <w:rPr>
                <w:sz w:val="22"/>
                <w:szCs w:val="22"/>
              </w:rPr>
            </w:pPr>
            <w:r w:rsidRPr="00D42935">
              <w:rPr>
                <w:sz w:val="22"/>
                <w:szCs w:val="22"/>
              </w:rPr>
              <w:t xml:space="preserve">iekšējie: vasarā +24 +/-2 </w:t>
            </w:r>
            <w:r w:rsidRPr="00D42935">
              <w:rPr>
                <w:sz w:val="22"/>
                <w:szCs w:val="22"/>
              </w:rPr>
              <w:sym w:font="Symbol" w:char="F0B0"/>
            </w:r>
            <w:r w:rsidRPr="00D42935">
              <w:rPr>
                <w:sz w:val="22"/>
                <w:szCs w:val="22"/>
              </w:rPr>
              <w:t xml:space="preserve">C, ziemā +20 +/- 2 </w:t>
            </w:r>
            <w:r w:rsidRPr="00D42935">
              <w:rPr>
                <w:sz w:val="22"/>
                <w:szCs w:val="22"/>
              </w:rPr>
              <w:sym w:font="Symbol" w:char="F0B0"/>
            </w:r>
            <w:r w:rsidRPr="00D42935">
              <w:rPr>
                <w:sz w:val="22"/>
                <w:szCs w:val="22"/>
              </w:rPr>
              <w:t xml:space="preserve">C; RH </w:t>
            </w:r>
            <w:r w:rsidRPr="00D42935">
              <w:rPr>
                <w:dstrike/>
                <w:sz w:val="22"/>
                <w:szCs w:val="22"/>
                <w:highlight w:val="cyan"/>
              </w:rPr>
              <w:t>45+/- 7-8%;</w:t>
            </w:r>
            <w:r w:rsidRPr="00D42935">
              <w:rPr>
                <w:sz w:val="22"/>
                <w:szCs w:val="22"/>
              </w:rPr>
              <w:t xml:space="preserve"> atbilstoši telpu funkcijām pēc normatīva;</w:t>
            </w:r>
          </w:p>
          <w:p w:rsidR="00C2013B" w:rsidRPr="00D42935" w:rsidRDefault="00C2013B" w:rsidP="00E552C3">
            <w:pPr>
              <w:pStyle w:val="ListParagraph"/>
              <w:spacing w:before="120" w:after="120"/>
              <w:ind w:left="0"/>
              <w:contextualSpacing w:val="0"/>
              <w:jc w:val="both"/>
              <w:rPr>
                <w:sz w:val="22"/>
                <w:szCs w:val="22"/>
              </w:rPr>
            </w:pPr>
          </w:p>
        </w:tc>
        <w:tc>
          <w:tcPr>
            <w:tcW w:w="2976" w:type="dxa"/>
          </w:tcPr>
          <w:p w:rsidR="00C2013B" w:rsidRPr="00EE6D6E" w:rsidRDefault="00433754" w:rsidP="00C2013B">
            <w:pPr>
              <w:pStyle w:val="ListParagraph"/>
              <w:spacing w:before="120" w:after="120"/>
              <w:ind w:left="0"/>
              <w:contextualSpacing w:val="0"/>
              <w:jc w:val="both"/>
              <w:rPr>
                <w:sz w:val="22"/>
                <w:szCs w:val="22"/>
                <w:lang w:eastAsia="lv-LV"/>
              </w:rPr>
            </w:pPr>
            <w:r w:rsidRPr="00EE6D6E">
              <w:rPr>
                <w:sz w:val="22"/>
                <w:szCs w:val="22"/>
                <w:lang w:eastAsia="lv-LV"/>
              </w:rPr>
              <w:t>P.20.3.Ventilācijas sistēma un p.20.3.2. ir tā apakšpunkts. Ņemot to vērā</w:t>
            </w:r>
            <w:r w:rsidR="00AF5345" w:rsidRPr="00EE6D6E">
              <w:rPr>
                <w:sz w:val="22"/>
                <w:szCs w:val="22"/>
                <w:lang w:eastAsia="lv-LV"/>
              </w:rPr>
              <w:t>,</w:t>
            </w:r>
            <w:r w:rsidRPr="00EE6D6E">
              <w:rPr>
                <w:sz w:val="22"/>
                <w:szCs w:val="22"/>
                <w:lang w:eastAsia="lv-LV"/>
              </w:rPr>
              <w:t xml:space="preserve"> iepriekš netika skaidrots, ka norādītās prasības attiecas tieši uz ventilācijas sistēmu. Bet tā kā būvprojekta eksperts traktē to savādāk, uzskatot, ka šīs prasības pasūtītājs attiecina pret konkrētām iekārtām nevis sistēmu kopumā, ir nepieciešams šis precizējums, kas pilnīgi nemaina iepriekš izvirzīto prasību būtību un ir atkārtojums iepriekš veiktajam norādījumam.</w:t>
            </w:r>
          </w:p>
          <w:p w:rsidR="00433754" w:rsidRPr="00EE6D6E" w:rsidRDefault="00433754" w:rsidP="00C2013B">
            <w:pPr>
              <w:pStyle w:val="ListParagraph"/>
              <w:spacing w:before="120" w:after="120"/>
              <w:ind w:left="0"/>
              <w:contextualSpacing w:val="0"/>
              <w:jc w:val="both"/>
              <w:rPr>
                <w:sz w:val="22"/>
                <w:szCs w:val="22"/>
              </w:rPr>
            </w:pPr>
            <w:r w:rsidRPr="00EE6D6E">
              <w:rPr>
                <w:sz w:val="22"/>
                <w:szCs w:val="22"/>
              </w:rPr>
              <w:t xml:space="preserve">Lūdzu izņemt gaisa relatīvā mitruma konkrētu rādītāju, atstājot tikai norādi uz to, ka relatīvam gaisa mitrumam ir jābūt atbilstošam telpu funkcijām pēc normatīva. Pretējā gadījumā paaugstinātas prasības tiek attiecinātas pilnīgi uz visām telpām, kas var būtiski sadārdzināt ventilācijas sistēmu, padarīt to daudz </w:t>
            </w:r>
            <w:proofErr w:type="spellStart"/>
            <w:r w:rsidRPr="00EE6D6E">
              <w:rPr>
                <w:sz w:val="22"/>
                <w:szCs w:val="22"/>
              </w:rPr>
              <w:t>sarežģitāku</w:t>
            </w:r>
            <w:proofErr w:type="spellEnd"/>
            <w:r w:rsidRPr="00EE6D6E">
              <w:rPr>
                <w:sz w:val="22"/>
                <w:szCs w:val="22"/>
              </w:rPr>
              <w:t xml:space="preserve"> un dārgāku </w:t>
            </w:r>
            <w:r w:rsidRPr="00EE6D6E">
              <w:rPr>
                <w:sz w:val="22"/>
                <w:szCs w:val="22"/>
              </w:rPr>
              <w:lastRenderedPageBreak/>
              <w:t>ekspluatācijā.</w:t>
            </w:r>
          </w:p>
        </w:tc>
      </w:tr>
      <w:tr w:rsidR="00C2013B" w:rsidRPr="00D42935" w:rsidTr="001A1CEF">
        <w:tc>
          <w:tcPr>
            <w:tcW w:w="996" w:type="dxa"/>
          </w:tcPr>
          <w:p w:rsidR="00C2013B" w:rsidRPr="00D42935" w:rsidRDefault="00AA63CA" w:rsidP="00C2013B">
            <w:pPr>
              <w:pStyle w:val="ListParagraph"/>
              <w:spacing w:before="120" w:after="120"/>
              <w:ind w:left="0"/>
              <w:contextualSpacing w:val="0"/>
              <w:jc w:val="both"/>
              <w:rPr>
                <w:sz w:val="22"/>
                <w:szCs w:val="22"/>
              </w:rPr>
            </w:pPr>
            <w:r w:rsidRPr="00D42935">
              <w:rPr>
                <w:sz w:val="22"/>
                <w:szCs w:val="22"/>
              </w:rPr>
              <w:lastRenderedPageBreak/>
              <w:t>20.3.6.</w:t>
            </w:r>
          </w:p>
        </w:tc>
        <w:tc>
          <w:tcPr>
            <w:tcW w:w="2835" w:type="dxa"/>
          </w:tcPr>
          <w:p w:rsidR="00AA63CA" w:rsidRPr="00D42935" w:rsidRDefault="00AA63CA" w:rsidP="00AA63CA">
            <w:pPr>
              <w:pStyle w:val="NormalJustified"/>
              <w:tabs>
                <w:tab w:val="left" w:pos="851"/>
              </w:tabs>
              <w:spacing w:before="120"/>
              <w:rPr>
                <w:sz w:val="22"/>
                <w:szCs w:val="22"/>
                <w:highlight w:val="cyan"/>
              </w:rPr>
            </w:pPr>
            <w:r w:rsidRPr="00D42935">
              <w:rPr>
                <w:sz w:val="22"/>
                <w:szCs w:val="22"/>
              </w:rPr>
              <w:t>Izstrādāt automātikas skapja shēmas.</w:t>
            </w:r>
          </w:p>
          <w:p w:rsidR="00C2013B" w:rsidRPr="00D42935" w:rsidRDefault="00C2013B" w:rsidP="00C2013B">
            <w:pPr>
              <w:pStyle w:val="ListParagraph"/>
              <w:spacing w:before="120" w:after="120"/>
              <w:ind w:left="0"/>
              <w:contextualSpacing w:val="0"/>
              <w:jc w:val="both"/>
              <w:rPr>
                <w:sz w:val="22"/>
                <w:szCs w:val="22"/>
              </w:rPr>
            </w:pPr>
          </w:p>
        </w:tc>
        <w:tc>
          <w:tcPr>
            <w:tcW w:w="3683" w:type="dxa"/>
          </w:tcPr>
          <w:p w:rsidR="00AA63CA" w:rsidRPr="00D42935" w:rsidRDefault="00AA63CA" w:rsidP="00AA63CA">
            <w:pPr>
              <w:pStyle w:val="NormalJustified"/>
              <w:tabs>
                <w:tab w:val="left" w:pos="851"/>
              </w:tabs>
              <w:spacing w:before="120"/>
              <w:rPr>
                <w:sz w:val="22"/>
                <w:szCs w:val="22"/>
                <w:highlight w:val="cyan"/>
              </w:rPr>
            </w:pPr>
            <w:r w:rsidRPr="00D42935">
              <w:rPr>
                <w:sz w:val="22"/>
                <w:szCs w:val="22"/>
              </w:rPr>
              <w:t xml:space="preserve">Izstrādāt automātikas skapja shēmas, </w:t>
            </w:r>
            <w:r w:rsidRPr="00D42935">
              <w:rPr>
                <w:sz w:val="22"/>
                <w:szCs w:val="22"/>
                <w:highlight w:val="cyan"/>
              </w:rPr>
              <w:t>ja ventilācijas iekārtas nav ar ražotāja paredzēto automātiku.</w:t>
            </w:r>
          </w:p>
          <w:p w:rsidR="00C2013B" w:rsidRPr="00D42935" w:rsidRDefault="00C2013B" w:rsidP="00E552C3">
            <w:pPr>
              <w:pStyle w:val="ListParagraph"/>
              <w:spacing w:before="120" w:after="120"/>
              <w:ind w:left="0"/>
              <w:contextualSpacing w:val="0"/>
              <w:jc w:val="both"/>
              <w:rPr>
                <w:sz w:val="22"/>
                <w:szCs w:val="22"/>
              </w:rPr>
            </w:pPr>
          </w:p>
        </w:tc>
        <w:tc>
          <w:tcPr>
            <w:tcW w:w="2976" w:type="dxa"/>
          </w:tcPr>
          <w:p w:rsidR="00C2013B" w:rsidRPr="00EE6D6E" w:rsidRDefault="00AA63CA" w:rsidP="00C2013B">
            <w:pPr>
              <w:pStyle w:val="ListParagraph"/>
              <w:spacing w:before="120" w:after="120"/>
              <w:ind w:left="0"/>
              <w:contextualSpacing w:val="0"/>
              <w:jc w:val="both"/>
              <w:rPr>
                <w:sz w:val="22"/>
                <w:szCs w:val="22"/>
              </w:rPr>
            </w:pPr>
            <w:r w:rsidRPr="00EE6D6E">
              <w:rPr>
                <w:sz w:val="22"/>
                <w:szCs w:val="22"/>
              </w:rPr>
              <w:t>Automātikas skapja shēmu ir nepieciešams izstrādāt tajā gadījumā, ja projektā ir saliktas kopā dažādas iekārtas un automātika tiek veidota kā papildus sistēma. Bet</w:t>
            </w:r>
            <w:r w:rsidR="00466995" w:rsidRPr="00EE6D6E">
              <w:rPr>
                <w:sz w:val="22"/>
                <w:szCs w:val="22"/>
              </w:rPr>
              <w:t>,</w:t>
            </w:r>
            <w:r w:rsidRPr="00EE6D6E">
              <w:rPr>
                <w:sz w:val="22"/>
                <w:szCs w:val="22"/>
              </w:rPr>
              <w:t xml:space="preserve"> ja projektā tiek likta sistēma, kurai jau ir sava automātika, tad projektētājs paļaujas uz ražotāja </w:t>
            </w:r>
            <w:proofErr w:type="spellStart"/>
            <w:r w:rsidRPr="00EE6D6E">
              <w:rPr>
                <w:sz w:val="22"/>
                <w:szCs w:val="22"/>
              </w:rPr>
              <w:t>izdstrādātiem</w:t>
            </w:r>
            <w:proofErr w:type="spellEnd"/>
            <w:r w:rsidRPr="00EE6D6E">
              <w:rPr>
                <w:sz w:val="22"/>
                <w:szCs w:val="22"/>
              </w:rPr>
              <w:t xml:space="preserve"> risinājumiem un neizstrādā atsevišķas automātikas skapja shēmas.</w:t>
            </w:r>
          </w:p>
        </w:tc>
      </w:tr>
      <w:tr w:rsidR="00C2013B" w:rsidRPr="00D42935" w:rsidTr="001A1CEF">
        <w:tc>
          <w:tcPr>
            <w:tcW w:w="996" w:type="dxa"/>
          </w:tcPr>
          <w:p w:rsidR="00C2013B" w:rsidRPr="00D42935" w:rsidRDefault="000869F1" w:rsidP="00C2013B">
            <w:pPr>
              <w:pStyle w:val="ListParagraph"/>
              <w:spacing w:before="120" w:after="120"/>
              <w:ind w:left="0"/>
              <w:contextualSpacing w:val="0"/>
              <w:jc w:val="both"/>
              <w:rPr>
                <w:sz w:val="22"/>
                <w:szCs w:val="22"/>
              </w:rPr>
            </w:pPr>
            <w:r w:rsidRPr="00D42935">
              <w:rPr>
                <w:sz w:val="22"/>
                <w:szCs w:val="22"/>
              </w:rPr>
              <w:t xml:space="preserve">20.3.8. </w:t>
            </w:r>
          </w:p>
        </w:tc>
        <w:tc>
          <w:tcPr>
            <w:tcW w:w="2835" w:type="dxa"/>
          </w:tcPr>
          <w:p w:rsidR="000869F1" w:rsidRPr="00D42935" w:rsidRDefault="000869F1" w:rsidP="000869F1">
            <w:pPr>
              <w:pStyle w:val="NormalJustified"/>
              <w:tabs>
                <w:tab w:val="left" w:pos="851"/>
              </w:tabs>
              <w:spacing w:before="120"/>
              <w:rPr>
                <w:sz w:val="22"/>
                <w:szCs w:val="22"/>
              </w:rPr>
            </w:pPr>
            <w:r w:rsidRPr="00D42935">
              <w:rPr>
                <w:sz w:val="22"/>
                <w:szCs w:val="22"/>
              </w:rPr>
              <w:t xml:space="preserve">Visām gaisa apstrādes iekārtām (AHU) ir jāatbilst Eiropas standartiem, (jābūt ar </w:t>
            </w:r>
            <w:proofErr w:type="spellStart"/>
            <w:r w:rsidRPr="00D42935">
              <w:rPr>
                <w:sz w:val="22"/>
                <w:szCs w:val="22"/>
              </w:rPr>
              <w:t>Eurovent</w:t>
            </w:r>
            <w:proofErr w:type="spellEnd"/>
            <w:r w:rsidRPr="00D42935">
              <w:rPr>
                <w:sz w:val="22"/>
                <w:szCs w:val="22"/>
              </w:rPr>
              <w:t xml:space="preserve"> sertifikātu). Ir jāparedz tikai tādu izgatavotāju iekārtas, kuras nodrošina rūpnīcas garantiju ne mazāku par 24 mēnešiem.</w:t>
            </w:r>
          </w:p>
          <w:p w:rsidR="00C2013B" w:rsidRPr="00D42935" w:rsidRDefault="00C2013B" w:rsidP="00C2013B">
            <w:pPr>
              <w:pStyle w:val="ListParagraph"/>
              <w:spacing w:before="120" w:after="120"/>
              <w:ind w:left="0"/>
              <w:contextualSpacing w:val="0"/>
              <w:jc w:val="both"/>
              <w:rPr>
                <w:sz w:val="22"/>
                <w:szCs w:val="22"/>
              </w:rPr>
            </w:pPr>
          </w:p>
        </w:tc>
        <w:tc>
          <w:tcPr>
            <w:tcW w:w="3683" w:type="dxa"/>
          </w:tcPr>
          <w:p w:rsidR="000869F1" w:rsidRPr="00D42935" w:rsidRDefault="000869F1" w:rsidP="000869F1">
            <w:pPr>
              <w:pStyle w:val="NormalJustified"/>
              <w:tabs>
                <w:tab w:val="left" w:pos="851"/>
              </w:tabs>
              <w:spacing w:before="120"/>
              <w:rPr>
                <w:sz w:val="22"/>
                <w:szCs w:val="22"/>
              </w:rPr>
            </w:pPr>
            <w:r w:rsidRPr="00D42935">
              <w:rPr>
                <w:sz w:val="22"/>
                <w:szCs w:val="22"/>
              </w:rPr>
              <w:t xml:space="preserve">Visām gaisa apstrādes iekārtām (AHU) ir jāatbilst Eiropas standartiem, (jābūt </w:t>
            </w:r>
            <w:r w:rsidRPr="00D42935">
              <w:rPr>
                <w:dstrike/>
                <w:sz w:val="22"/>
                <w:szCs w:val="22"/>
                <w:highlight w:val="cyan"/>
              </w:rPr>
              <w:t xml:space="preserve">ar </w:t>
            </w:r>
            <w:proofErr w:type="spellStart"/>
            <w:r w:rsidRPr="00D42935">
              <w:rPr>
                <w:dstrike/>
                <w:sz w:val="22"/>
                <w:szCs w:val="22"/>
                <w:highlight w:val="cyan"/>
              </w:rPr>
              <w:t>Eurovent</w:t>
            </w:r>
            <w:proofErr w:type="spellEnd"/>
            <w:r w:rsidRPr="00D42935">
              <w:rPr>
                <w:dstrike/>
                <w:sz w:val="22"/>
                <w:szCs w:val="22"/>
                <w:highlight w:val="cyan"/>
              </w:rPr>
              <w:t xml:space="preserve"> sertifikātu</w:t>
            </w:r>
            <w:r w:rsidRPr="00D42935">
              <w:rPr>
                <w:sz w:val="22"/>
                <w:szCs w:val="22"/>
              </w:rPr>
              <w:t xml:space="preserve"> </w:t>
            </w:r>
            <w:r w:rsidRPr="00D42935">
              <w:rPr>
                <w:sz w:val="22"/>
                <w:szCs w:val="22"/>
                <w:highlight w:val="cyan"/>
              </w:rPr>
              <w:t>atbilstoši sertificētām</w:t>
            </w:r>
            <w:r w:rsidRPr="00D42935">
              <w:rPr>
                <w:sz w:val="22"/>
                <w:szCs w:val="22"/>
              </w:rPr>
              <w:t>). Ir jāparedz tikai tādu izgatavotāju iekārtas, kuras nodrošina rūpnīcas garantiju ne mazāku par 24 mēnešiem.</w:t>
            </w:r>
          </w:p>
          <w:p w:rsidR="00C2013B" w:rsidRPr="00D42935" w:rsidRDefault="00C2013B" w:rsidP="00E552C3">
            <w:pPr>
              <w:pStyle w:val="ListParagraph"/>
              <w:spacing w:before="120" w:after="120"/>
              <w:ind w:left="0"/>
              <w:contextualSpacing w:val="0"/>
              <w:jc w:val="both"/>
              <w:rPr>
                <w:sz w:val="22"/>
                <w:szCs w:val="22"/>
              </w:rPr>
            </w:pPr>
          </w:p>
        </w:tc>
        <w:tc>
          <w:tcPr>
            <w:tcW w:w="2976" w:type="dxa"/>
          </w:tcPr>
          <w:p w:rsidR="00C2013B" w:rsidRPr="00EE6D6E" w:rsidRDefault="000869F1" w:rsidP="00C2013B">
            <w:pPr>
              <w:pStyle w:val="ListParagraph"/>
              <w:spacing w:before="120" w:after="120"/>
              <w:ind w:left="0"/>
              <w:contextualSpacing w:val="0"/>
              <w:jc w:val="both"/>
              <w:rPr>
                <w:sz w:val="22"/>
                <w:szCs w:val="22"/>
              </w:rPr>
            </w:pPr>
            <w:proofErr w:type="spellStart"/>
            <w:r w:rsidRPr="00EE6D6E">
              <w:rPr>
                <w:sz w:val="22"/>
                <w:szCs w:val="22"/>
              </w:rPr>
              <w:t>Eurovent</w:t>
            </w:r>
            <w:proofErr w:type="spellEnd"/>
            <w:r w:rsidRPr="00EE6D6E">
              <w:rPr>
                <w:sz w:val="22"/>
                <w:szCs w:val="22"/>
              </w:rPr>
              <w:t xml:space="preserve"> nav vienīgais iespējamais sertificēšanas veids. Eiropas standartiem atbilstošas iekārtas var būt arī bez </w:t>
            </w:r>
            <w:proofErr w:type="spellStart"/>
            <w:r w:rsidRPr="00EE6D6E">
              <w:rPr>
                <w:sz w:val="22"/>
                <w:szCs w:val="22"/>
              </w:rPr>
              <w:t>Eurovent</w:t>
            </w:r>
            <w:proofErr w:type="spellEnd"/>
            <w:r w:rsidRPr="00EE6D6E">
              <w:rPr>
                <w:sz w:val="22"/>
                <w:szCs w:val="22"/>
              </w:rPr>
              <w:t xml:space="preserve"> sertifikāta. Piedāvāju paplašināt izskatāmo iekārtu loku, norādot, ka tām ir jābūt atbilstošām Eiropas standartiem un atbilstoši sertificētām.</w:t>
            </w:r>
          </w:p>
        </w:tc>
      </w:tr>
      <w:tr w:rsidR="00D42935" w:rsidRPr="00D42935" w:rsidTr="001A1CEF">
        <w:tc>
          <w:tcPr>
            <w:tcW w:w="996" w:type="dxa"/>
          </w:tcPr>
          <w:p w:rsidR="000869F1" w:rsidRPr="00D42935" w:rsidRDefault="000869F1" w:rsidP="00E552C3">
            <w:pPr>
              <w:pStyle w:val="ListParagraph"/>
              <w:spacing w:before="120" w:after="120"/>
              <w:ind w:left="0"/>
              <w:contextualSpacing w:val="0"/>
              <w:jc w:val="both"/>
              <w:rPr>
                <w:sz w:val="22"/>
                <w:szCs w:val="22"/>
              </w:rPr>
            </w:pPr>
            <w:r w:rsidRPr="00D42935">
              <w:rPr>
                <w:sz w:val="22"/>
                <w:szCs w:val="22"/>
              </w:rPr>
              <w:t>20.3.13.</w:t>
            </w:r>
          </w:p>
        </w:tc>
        <w:tc>
          <w:tcPr>
            <w:tcW w:w="2835" w:type="dxa"/>
          </w:tcPr>
          <w:p w:rsidR="000869F1" w:rsidRPr="00D42935" w:rsidRDefault="000869F1" w:rsidP="000869F1">
            <w:pPr>
              <w:pStyle w:val="NormalJustified"/>
              <w:tabs>
                <w:tab w:val="left" w:pos="851"/>
              </w:tabs>
              <w:spacing w:before="120"/>
              <w:rPr>
                <w:sz w:val="22"/>
                <w:szCs w:val="22"/>
              </w:rPr>
            </w:pPr>
            <w:r w:rsidRPr="00D42935">
              <w:rPr>
                <w:sz w:val="22"/>
                <w:szCs w:val="22"/>
              </w:rPr>
              <w:t xml:space="preserve">Filtru klase pieplūdes iekārtām: EU7. Filtru klase nosūces iekārtām: EU5. Pieplūdes iekārtām ir jāparedz arī </w:t>
            </w:r>
            <w:proofErr w:type="spellStart"/>
            <w:r w:rsidRPr="00D42935">
              <w:rPr>
                <w:sz w:val="22"/>
                <w:szCs w:val="22"/>
              </w:rPr>
              <w:t>priekšfiltru</w:t>
            </w:r>
            <w:proofErr w:type="spellEnd"/>
            <w:r w:rsidRPr="00D42935">
              <w:rPr>
                <w:sz w:val="22"/>
                <w:szCs w:val="22"/>
              </w:rPr>
              <w:t xml:space="preserve"> sekcija ar filtru klasi EU3. Frontālais gaisa ātrums filtru sekcijā: 2,8 m/s. Filtriem ir jābūt viegli izņemamiem no filtru sekcijas. Filtru sekcija ir jāaprīko ar atveri spiediena mērierīces izvietošanai.</w:t>
            </w:r>
            <w:proofErr w:type="gramStart"/>
            <w:r w:rsidRPr="00D42935">
              <w:rPr>
                <w:sz w:val="22"/>
                <w:szCs w:val="22"/>
              </w:rPr>
              <w:t xml:space="preserve">  </w:t>
            </w:r>
            <w:proofErr w:type="gramEnd"/>
            <w:r w:rsidRPr="00D42935">
              <w:rPr>
                <w:sz w:val="22"/>
                <w:szCs w:val="22"/>
              </w:rPr>
              <w:t>Filtri tiek iestatīti pie maksimālās sākuma pretestības 80 Pa un beigu spiediena 250 Pa. Jāizmanto vertikāli rāmjos iemontēti kabatu filtri.</w:t>
            </w:r>
            <w:proofErr w:type="gramStart"/>
            <w:r w:rsidRPr="00D42935">
              <w:rPr>
                <w:sz w:val="22"/>
                <w:szCs w:val="22"/>
              </w:rPr>
              <w:t xml:space="preserve">  </w:t>
            </w:r>
            <w:proofErr w:type="gramEnd"/>
            <w:r w:rsidRPr="00D42935">
              <w:rPr>
                <w:sz w:val="22"/>
                <w:szCs w:val="22"/>
              </w:rPr>
              <w:t>Pirms/pēc filtriem un dzesēšanas/sildīšanas baterijām ir jāuzstāda diferenciālā gaisa manometrs ar skalu 0-500 Pa.</w:t>
            </w:r>
          </w:p>
          <w:p w:rsidR="000869F1" w:rsidRPr="00D42935" w:rsidRDefault="000869F1" w:rsidP="00E552C3">
            <w:pPr>
              <w:pStyle w:val="ListParagraph"/>
              <w:spacing w:before="120" w:after="120"/>
              <w:ind w:left="0"/>
              <w:contextualSpacing w:val="0"/>
              <w:jc w:val="both"/>
              <w:rPr>
                <w:sz w:val="22"/>
                <w:szCs w:val="22"/>
              </w:rPr>
            </w:pPr>
          </w:p>
        </w:tc>
        <w:tc>
          <w:tcPr>
            <w:tcW w:w="3683" w:type="dxa"/>
          </w:tcPr>
          <w:p w:rsidR="000869F1" w:rsidRPr="00D42935" w:rsidRDefault="000869F1" w:rsidP="000869F1">
            <w:pPr>
              <w:pStyle w:val="NormalJustified"/>
              <w:tabs>
                <w:tab w:val="left" w:pos="851"/>
              </w:tabs>
              <w:spacing w:before="120"/>
              <w:rPr>
                <w:sz w:val="22"/>
                <w:szCs w:val="22"/>
              </w:rPr>
            </w:pPr>
            <w:r w:rsidRPr="00D42935">
              <w:rPr>
                <w:sz w:val="22"/>
                <w:szCs w:val="22"/>
              </w:rPr>
              <w:t xml:space="preserve">Filtru klase pieplūdes iekārtām: EU7. Filtru klase nosūces iekārtām: EU5. </w:t>
            </w:r>
            <w:r w:rsidRPr="00D42935">
              <w:rPr>
                <w:dstrike/>
                <w:sz w:val="22"/>
                <w:szCs w:val="22"/>
                <w:highlight w:val="cyan"/>
              </w:rPr>
              <w:t xml:space="preserve">Pieplūdes iekārtām ir jāparedz arī </w:t>
            </w:r>
            <w:proofErr w:type="spellStart"/>
            <w:r w:rsidRPr="00D42935">
              <w:rPr>
                <w:dstrike/>
                <w:sz w:val="22"/>
                <w:szCs w:val="22"/>
                <w:highlight w:val="cyan"/>
              </w:rPr>
              <w:t>priekšfiltru</w:t>
            </w:r>
            <w:proofErr w:type="spellEnd"/>
            <w:r w:rsidRPr="00D42935">
              <w:rPr>
                <w:dstrike/>
                <w:sz w:val="22"/>
                <w:szCs w:val="22"/>
                <w:highlight w:val="cyan"/>
              </w:rPr>
              <w:t xml:space="preserve"> sekcija ar filtru klasi EU3. Frontālais gaisa ātrums filtru sekcijā: 2,8 m/s. Filtriem ir jābūt viegli izņemamiem no filtru sekcijas. Filtru sekcija ir jāaprīko ar atveri spiediena mērierīces izvietošanai.</w:t>
            </w:r>
            <w:proofErr w:type="gramStart"/>
            <w:r w:rsidRPr="00D42935">
              <w:rPr>
                <w:dstrike/>
                <w:sz w:val="22"/>
                <w:szCs w:val="22"/>
                <w:highlight w:val="cyan"/>
              </w:rPr>
              <w:t xml:space="preserve">  </w:t>
            </w:r>
            <w:proofErr w:type="gramEnd"/>
            <w:r w:rsidRPr="00D42935">
              <w:rPr>
                <w:dstrike/>
                <w:sz w:val="22"/>
                <w:szCs w:val="22"/>
                <w:highlight w:val="cyan"/>
              </w:rPr>
              <w:t>Filtri tiek iestatīti pie maksimālās sākuma pretestības 80 Pa un beigu spiediena 250 Pa. Jāizmanto vertikāli rāmjos iemontēti kabatu filtri.</w:t>
            </w:r>
            <w:proofErr w:type="gramStart"/>
            <w:r w:rsidRPr="00D42935">
              <w:rPr>
                <w:dstrike/>
                <w:sz w:val="22"/>
                <w:szCs w:val="22"/>
                <w:highlight w:val="cyan"/>
              </w:rPr>
              <w:t xml:space="preserve">  </w:t>
            </w:r>
            <w:proofErr w:type="gramEnd"/>
            <w:r w:rsidRPr="00D42935">
              <w:rPr>
                <w:dstrike/>
                <w:sz w:val="22"/>
                <w:szCs w:val="22"/>
                <w:highlight w:val="cyan"/>
              </w:rPr>
              <w:t>Pirms/pēc filtriem un dzesēšanas/sildīšanas baterijām ir jāuzstāda diferenciālā gaisa manometrs ar skalu 0-500 Pa.</w:t>
            </w:r>
          </w:p>
          <w:p w:rsidR="000869F1" w:rsidRPr="00D42935" w:rsidRDefault="000869F1" w:rsidP="00E552C3">
            <w:pPr>
              <w:pStyle w:val="ListParagraph"/>
              <w:spacing w:before="120" w:after="120"/>
              <w:ind w:left="0"/>
              <w:contextualSpacing w:val="0"/>
              <w:jc w:val="both"/>
              <w:rPr>
                <w:sz w:val="22"/>
                <w:szCs w:val="22"/>
              </w:rPr>
            </w:pPr>
          </w:p>
        </w:tc>
        <w:tc>
          <w:tcPr>
            <w:tcW w:w="2976" w:type="dxa"/>
          </w:tcPr>
          <w:p w:rsidR="000869F1" w:rsidRPr="00EE6D6E" w:rsidRDefault="000869F1" w:rsidP="00E552C3">
            <w:pPr>
              <w:pStyle w:val="ListParagraph"/>
              <w:spacing w:before="120" w:after="120"/>
              <w:ind w:left="0"/>
              <w:contextualSpacing w:val="0"/>
              <w:jc w:val="both"/>
              <w:rPr>
                <w:sz w:val="22"/>
                <w:szCs w:val="22"/>
              </w:rPr>
            </w:pPr>
            <w:r w:rsidRPr="00EE6D6E">
              <w:rPr>
                <w:sz w:val="22"/>
                <w:szCs w:val="22"/>
              </w:rPr>
              <w:t xml:space="preserve">Šīs prasības tika izvirzītas centralizētas ventilācijas sistēmas risinājumam. Bet būvprojekta izstrādātājam ir tiesības izmantot arī decentralizēto ventilācijas sistēmas risinājumu. Un </w:t>
            </w:r>
            <w:proofErr w:type="spellStart"/>
            <w:r w:rsidRPr="00EE6D6E">
              <w:rPr>
                <w:sz w:val="22"/>
                <w:szCs w:val="22"/>
              </w:rPr>
              <w:t>decentralīzētas</w:t>
            </w:r>
            <w:proofErr w:type="spellEnd"/>
            <w:r w:rsidRPr="00EE6D6E">
              <w:rPr>
                <w:sz w:val="22"/>
                <w:szCs w:val="22"/>
              </w:rPr>
              <w:t xml:space="preserve"> sistēmas risinājumam šīs prasības nav piemērotas.</w:t>
            </w:r>
          </w:p>
        </w:tc>
      </w:tr>
      <w:tr w:rsidR="00D42935" w:rsidRPr="00D42935" w:rsidTr="001A1CEF">
        <w:tc>
          <w:tcPr>
            <w:tcW w:w="996" w:type="dxa"/>
          </w:tcPr>
          <w:p w:rsidR="000869F1" w:rsidRPr="00D42935" w:rsidRDefault="0010206D" w:rsidP="00E552C3">
            <w:pPr>
              <w:pStyle w:val="ListParagraph"/>
              <w:spacing w:before="120" w:after="120"/>
              <w:ind w:left="0"/>
              <w:contextualSpacing w:val="0"/>
              <w:jc w:val="both"/>
              <w:rPr>
                <w:sz w:val="22"/>
                <w:szCs w:val="22"/>
              </w:rPr>
            </w:pPr>
            <w:r w:rsidRPr="00D42935">
              <w:rPr>
                <w:sz w:val="22"/>
                <w:szCs w:val="22"/>
              </w:rPr>
              <w:t xml:space="preserve">20.3.14. </w:t>
            </w:r>
          </w:p>
        </w:tc>
        <w:tc>
          <w:tcPr>
            <w:tcW w:w="2835" w:type="dxa"/>
          </w:tcPr>
          <w:p w:rsidR="0010206D" w:rsidRPr="00D42935" w:rsidRDefault="0010206D" w:rsidP="0010206D">
            <w:pPr>
              <w:pStyle w:val="NormalJustified"/>
              <w:tabs>
                <w:tab w:val="left" w:pos="851"/>
              </w:tabs>
              <w:spacing w:before="120"/>
              <w:rPr>
                <w:sz w:val="22"/>
                <w:szCs w:val="22"/>
              </w:rPr>
            </w:pPr>
            <w:r w:rsidRPr="00D42935">
              <w:rPr>
                <w:sz w:val="22"/>
                <w:szCs w:val="22"/>
              </w:rPr>
              <w:t xml:space="preserve">Rekuperators, ja tāds tiek </w:t>
            </w:r>
            <w:r w:rsidRPr="00D42935">
              <w:rPr>
                <w:sz w:val="22"/>
                <w:szCs w:val="22"/>
              </w:rPr>
              <w:lastRenderedPageBreak/>
              <w:t>pielietots, nedrīkst būt ar efektivitātes koeficientu zemāku par 75% pie āra gaisa temperatūras +/- 0</w:t>
            </w:r>
            <w:r w:rsidRPr="00D42935">
              <w:rPr>
                <w:sz w:val="22"/>
                <w:szCs w:val="22"/>
              </w:rPr>
              <w:sym w:font="Symbol" w:char="F0B0"/>
            </w:r>
            <w:r w:rsidRPr="00D42935">
              <w:rPr>
                <w:sz w:val="22"/>
                <w:szCs w:val="22"/>
              </w:rPr>
              <w:t>C un RH 25% nosūces gaisā. Plākšņveida rekuperators, ja tāds tiek pielietots, nedrīkst būt ar efektivitātes koeficientu zemāku par 60% pie āra gaisa temperatūras +/- 0</w:t>
            </w:r>
            <w:r w:rsidRPr="00D42935">
              <w:rPr>
                <w:sz w:val="22"/>
                <w:szCs w:val="22"/>
              </w:rPr>
              <w:sym w:font="Symbol" w:char="F0B0"/>
            </w:r>
            <w:r w:rsidRPr="00D42935">
              <w:rPr>
                <w:sz w:val="22"/>
                <w:szCs w:val="22"/>
              </w:rPr>
              <w:t xml:space="preserve">C un RH 25% nosūces gaisā. Izņēmumi pieļaujami sporta zāles, virtuves un darbnīcu ventilācijas nodrošināšanai. </w:t>
            </w:r>
          </w:p>
          <w:p w:rsidR="000869F1" w:rsidRPr="00D42935" w:rsidRDefault="000869F1" w:rsidP="00E552C3">
            <w:pPr>
              <w:pStyle w:val="ListParagraph"/>
              <w:spacing w:before="120" w:after="120"/>
              <w:ind w:left="0"/>
              <w:contextualSpacing w:val="0"/>
              <w:jc w:val="both"/>
              <w:rPr>
                <w:sz w:val="22"/>
                <w:szCs w:val="22"/>
              </w:rPr>
            </w:pPr>
          </w:p>
        </w:tc>
        <w:tc>
          <w:tcPr>
            <w:tcW w:w="3683" w:type="dxa"/>
          </w:tcPr>
          <w:p w:rsidR="0010206D" w:rsidRPr="00D42935" w:rsidRDefault="0010206D" w:rsidP="0010206D">
            <w:pPr>
              <w:pStyle w:val="NormalJustified"/>
              <w:tabs>
                <w:tab w:val="left" w:pos="851"/>
              </w:tabs>
              <w:spacing w:before="120"/>
              <w:rPr>
                <w:sz w:val="22"/>
                <w:szCs w:val="22"/>
                <w:highlight w:val="cyan"/>
              </w:rPr>
            </w:pPr>
            <w:r w:rsidRPr="00D42935">
              <w:rPr>
                <w:sz w:val="22"/>
                <w:szCs w:val="22"/>
              </w:rPr>
              <w:lastRenderedPageBreak/>
              <w:t xml:space="preserve">Rekuperatoriem, ja tādi tiek pielietoti, </w:t>
            </w:r>
            <w:r w:rsidRPr="00D42935">
              <w:rPr>
                <w:dstrike/>
                <w:sz w:val="22"/>
                <w:szCs w:val="22"/>
                <w:highlight w:val="cyan"/>
              </w:rPr>
              <w:lastRenderedPageBreak/>
              <w:t>nedrīkst būt ar efektivitātes koeficientu zemāku par 75% pie āra gaisa temperatūras +/- 0</w:t>
            </w:r>
            <w:r w:rsidRPr="00D42935">
              <w:rPr>
                <w:dstrike/>
                <w:sz w:val="22"/>
                <w:szCs w:val="22"/>
                <w:highlight w:val="cyan"/>
              </w:rPr>
              <w:sym w:font="Symbol" w:char="F0B0"/>
            </w:r>
            <w:r w:rsidRPr="00D42935">
              <w:rPr>
                <w:dstrike/>
                <w:sz w:val="22"/>
                <w:szCs w:val="22"/>
                <w:highlight w:val="cyan"/>
              </w:rPr>
              <w:t>C un RH 25% nosūces gaisā. Plākšņveida rekuperators, ja tāds tiek pielietots, nedrīkst būt ar efektivitātes koeficientu zemāku par 60% pie āra gaisa temperatūras +/- 0</w:t>
            </w:r>
            <w:r w:rsidRPr="00D42935">
              <w:rPr>
                <w:dstrike/>
                <w:sz w:val="22"/>
                <w:szCs w:val="22"/>
                <w:highlight w:val="cyan"/>
              </w:rPr>
              <w:sym w:font="Symbol" w:char="F0B0"/>
            </w:r>
            <w:r w:rsidRPr="00D42935">
              <w:rPr>
                <w:dstrike/>
                <w:sz w:val="22"/>
                <w:szCs w:val="22"/>
                <w:highlight w:val="cyan"/>
              </w:rPr>
              <w:t>C un RH 25% nosūces gaisā. Izņēmumi pieļaujami sporta zāles, virtuves un darbnīcu ventilācijas nodrošināšanai.</w:t>
            </w:r>
            <w:r w:rsidRPr="00D42935">
              <w:rPr>
                <w:sz w:val="22"/>
                <w:szCs w:val="22"/>
              </w:rPr>
              <w:t xml:space="preserve"> </w:t>
            </w:r>
            <w:r w:rsidRPr="00D42935">
              <w:rPr>
                <w:sz w:val="22"/>
                <w:szCs w:val="22"/>
                <w:highlight w:val="cyan"/>
              </w:rPr>
              <w:t>jāatbilst normatīviem.</w:t>
            </w:r>
          </w:p>
          <w:p w:rsidR="000869F1" w:rsidRPr="00D42935" w:rsidRDefault="000869F1" w:rsidP="00E552C3">
            <w:pPr>
              <w:pStyle w:val="ListParagraph"/>
              <w:spacing w:before="120" w:after="120"/>
              <w:ind w:left="0"/>
              <w:contextualSpacing w:val="0"/>
              <w:jc w:val="both"/>
              <w:rPr>
                <w:sz w:val="22"/>
                <w:szCs w:val="22"/>
              </w:rPr>
            </w:pPr>
          </w:p>
        </w:tc>
        <w:tc>
          <w:tcPr>
            <w:tcW w:w="2976" w:type="dxa"/>
          </w:tcPr>
          <w:p w:rsidR="0010206D" w:rsidRPr="00EE6D6E" w:rsidRDefault="0010206D" w:rsidP="0010206D">
            <w:pPr>
              <w:pStyle w:val="NormalJustified"/>
              <w:tabs>
                <w:tab w:val="left" w:pos="851"/>
              </w:tabs>
              <w:spacing w:before="120"/>
              <w:rPr>
                <w:sz w:val="22"/>
                <w:szCs w:val="22"/>
              </w:rPr>
            </w:pPr>
            <w:r w:rsidRPr="00EE6D6E">
              <w:rPr>
                <w:sz w:val="22"/>
                <w:szCs w:val="22"/>
              </w:rPr>
              <w:lastRenderedPageBreak/>
              <w:t xml:space="preserve">Galvenā doma ir nodrošināt </w:t>
            </w:r>
            <w:r w:rsidRPr="00EE6D6E">
              <w:rPr>
                <w:sz w:val="22"/>
                <w:szCs w:val="22"/>
              </w:rPr>
              <w:lastRenderedPageBreak/>
              <w:t>ēkas energoefektivitātes noteikto augsto līmeni, kas ir norādīts darba uzdevuma p.33.1. Šim mērķim izmantojamie līdzekļi var būt dažādi. Lai neierobežot projektētāju risinājumu izvēlē, lūdzu izņemt konkrētus agregātu rādītājus, bet papildus norādīt, ka tiem ir jāatbilst normatīviem.</w:t>
            </w:r>
          </w:p>
          <w:p w:rsidR="000869F1" w:rsidRPr="00EE6D6E" w:rsidRDefault="000869F1" w:rsidP="00E552C3">
            <w:pPr>
              <w:pStyle w:val="ListParagraph"/>
              <w:spacing w:before="120" w:after="120"/>
              <w:ind w:left="0"/>
              <w:contextualSpacing w:val="0"/>
              <w:jc w:val="both"/>
              <w:rPr>
                <w:sz w:val="22"/>
                <w:szCs w:val="22"/>
              </w:rPr>
            </w:pPr>
          </w:p>
        </w:tc>
      </w:tr>
      <w:tr w:rsidR="00D42935" w:rsidRPr="00D42935" w:rsidTr="001A1CEF">
        <w:tc>
          <w:tcPr>
            <w:tcW w:w="996" w:type="dxa"/>
          </w:tcPr>
          <w:p w:rsidR="000869F1" w:rsidRPr="00D42935" w:rsidRDefault="0010206D" w:rsidP="00E552C3">
            <w:pPr>
              <w:pStyle w:val="ListParagraph"/>
              <w:spacing w:before="120" w:after="120"/>
              <w:ind w:left="0"/>
              <w:contextualSpacing w:val="0"/>
              <w:jc w:val="both"/>
              <w:rPr>
                <w:sz w:val="22"/>
                <w:szCs w:val="22"/>
              </w:rPr>
            </w:pPr>
            <w:r w:rsidRPr="00D42935">
              <w:rPr>
                <w:sz w:val="22"/>
                <w:szCs w:val="22"/>
              </w:rPr>
              <w:lastRenderedPageBreak/>
              <w:t>20.3.34.</w:t>
            </w:r>
          </w:p>
        </w:tc>
        <w:tc>
          <w:tcPr>
            <w:tcW w:w="2835" w:type="dxa"/>
          </w:tcPr>
          <w:p w:rsidR="0010206D" w:rsidRPr="00D42935" w:rsidRDefault="0010206D" w:rsidP="0010206D">
            <w:pPr>
              <w:pStyle w:val="NormalJustified"/>
              <w:tabs>
                <w:tab w:val="left" w:pos="851"/>
              </w:tabs>
              <w:spacing w:before="120"/>
              <w:rPr>
                <w:sz w:val="22"/>
                <w:szCs w:val="22"/>
              </w:rPr>
            </w:pPr>
            <w:r w:rsidRPr="00D42935">
              <w:rPr>
                <w:sz w:val="22"/>
                <w:szCs w:val="22"/>
              </w:rPr>
              <w:t>AHU iekārtām ir jāparedz nepieciešamās sekcijas tās efektīvai apkalpošanas un tīrīšanas iespējai. Pie katras AHU ir jāparedz siltā un aukstā ūdens temperatūras regulēšanas mezgli (šunti). AHU un visām tās komponentēm ir jābūt ieprojektētām tā, lai gaisa apjomu varētu palielināt par 20% virs kalkulētajiem gaisa apjomiem (nominālajiem gaisa apjomiem), nemainot motoru.</w:t>
            </w:r>
          </w:p>
          <w:p w:rsidR="000869F1" w:rsidRPr="00D42935" w:rsidRDefault="000869F1" w:rsidP="00E552C3">
            <w:pPr>
              <w:pStyle w:val="ListParagraph"/>
              <w:spacing w:before="120" w:after="120"/>
              <w:ind w:left="0"/>
              <w:contextualSpacing w:val="0"/>
              <w:jc w:val="both"/>
              <w:rPr>
                <w:sz w:val="22"/>
                <w:szCs w:val="22"/>
              </w:rPr>
            </w:pPr>
          </w:p>
        </w:tc>
        <w:tc>
          <w:tcPr>
            <w:tcW w:w="3683" w:type="dxa"/>
          </w:tcPr>
          <w:p w:rsidR="0010206D" w:rsidRPr="00D42935" w:rsidRDefault="0010206D" w:rsidP="0010206D">
            <w:pPr>
              <w:pStyle w:val="NormalJustified"/>
              <w:tabs>
                <w:tab w:val="left" w:pos="851"/>
              </w:tabs>
              <w:spacing w:before="120"/>
              <w:rPr>
                <w:sz w:val="22"/>
                <w:szCs w:val="22"/>
              </w:rPr>
            </w:pPr>
            <w:r w:rsidRPr="00D42935">
              <w:rPr>
                <w:sz w:val="22"/>
                <w:szCs w:val="22"/>
              </w:rPr>
              <w:t xml:space="preserve">AHU iekārtām ir jāparedz nepieciešamās sekcijas tās efektīvai apkalpošanas un tīrīšanas iespējai. Pie katras AHU ir jāparedz siltā un aukstā ūdens temperatūras regulēšanas mezgli (šunti). </w:t>
            </w:r>
            <w:r w:rsidRPr="00D42935">
              <w:rPr>
                <w:dstrike/>
                <w:sz w:val="22"/>
                <w:szCs w:val="22"/>
                <w:highlight w:val="cyan"/>
              </w:rPr>
              <w:t>AHU un visām tās komponentēm ir jābūt ieprojektētām tā, lai gaisa apjomu varētu palielināt par 20% virs kalkulētajiem gaisa apjomiem (nominālajiem gaisa apjomiem), nemainot motoru.</w:t>
            </w:r>
          </w:p>
          <w:p w:rsidR="000869F1" w:rsidRPr="00D42935" w:rsidRDefault="000869F1" w:rsidP="00E552C3">
            <w:pPr>
              <w:pStyle w:val="ListParagraph"/>
              <w:spacing w:before="120" w:after="120"/>
              <w:ind w:left="0"/>
              <w:contextualSpacing w:val="0"/>
              <w:jc w:val="both"/>
              <w:rPr>
                <w:sz w:val="22"/>
                <w:szCs w:val="22"/>
              </w:rPr>
            </w:pPr>
          </w:p>
        </w:tc>
        <w:tc>
          <w:tcPr>
            <w:tcW w:w="2976" w:type="dxa"/>
          </w:tcPr>
          <w:p w:rsidR="000869F1" w:rsidRPr="00EE6D6E" w:rsidRDefault="0010206D" w:rsidP="00E552C3">
            <w:pPr>
              <w:pStyle w:val="ListParagraph"/>
              <w:spacing w:before="120" w:after="120"/>
              <w:ind w:left="0"/>
              <w:contextualSpacing w:val="0"/>
              <w:jc w:val="both"/>
              <w:rPr>
                <w:sz w:val="22"/>
                <w:szCs w:val="22"/>
              </w:rPr>
            </w:pPr>
            <w:r w:rsidRPr="00EE6D6E">
              <w:rPr>
                <w:sz w:val="22"/>
                <w:szCs w:val="22"/>
              </w:rPr>
              <w:t xml:space="preserve">Kalkulētajiem gaisa apjomiem ir jābūt atbilstošiem normatīvu prasībām. Latvijas normatīvi šajā jomā ir daudz augstāki nekā daudzās citās Eiropas valstīs. Nav nepieciešamības palielināt mūsu prasības. Bet palielinot prasības, mēs nepamatoti </w:t>
            </w:r>
            <w:proofErr w:type="spellStart"/>
            <w:r w:rsidRPr="00EE6D6E">
              <w:rPr>
                <w:sz w:val="22"/>
                <w:szCs w:val="22"/>
              </w:rPr>
              <w:t>sadārdzinam</w:t>
            </w:r>
            <w:proofErr w:type="spellEnd"/>
            <w:proofErr w:type="gramStart"/>
            <w:r w:rsidRPr="00EE6D6E">
              <w:rPr>
                <w:sz w:val="22"/>
                <w:szCs w:val="22"/>
              </w:rPr>
              <w:t xml:space="preserve">  </w:t>
            </w:r>
            <w:proofErr w:type="gramEnd"/>
            <w:r w:rsidRPr="00EE6D6E">
              <w:rPr>
                <w:sz w:val="22"/>
                <w:szCs w:val="22"/>
              </w:rPr>
              <w:t>izbūves un uzturēšanas izmaksas.</w:t>
            </w:r>
          </w:p>
          <w:p w:rsidR="00A6305B" w:rsidRPr="00EE6D6E" w:rsidRDefault="00A6305B" w:rsidP="003A52D7">
            <w:pPr>
              <w:pStyle w:val="ListParagraph"/>
              <w:spacing w:before="120" w:after="120"/>
              <w:ind w:left="0"/>
              <w:contextualSpacing w:val="0"/>
              <w:jc w:val="both"/>
              <w:rPr>
                <w:sz w:val="22"/>
                <w:szCs w:val="22"/>
              </w:rPr>
            </w:pPr>
            <w:r w:rsidRPr="00EE6D6E">
              <w:rPr>
                <w:sz w:val="22"/>
                <w:szCs w:val="22"/>
              </w:rPr>
              <w:t>Papildus jāņem vērā, ka kl</w:t>
            </w:r>
            <w:r w:rsidR="00191213" w:rsidRPr="00EE6D6E">
              <w:rPr>
                <w:sz w:val="22"/>
                <w:szCs w:val="22"/>
              </w:rPr>
              <w:t>ašu telpās ventilācijas sistēmas aprēķini v</w:t>
            </w:r>
            <w:r w:rsidR="003A52D7">
              <w:rPr>
                <w:sz w:val="22"/>
                <w:szCs w:val="22"/>
              </w:rPr>
              <w:t>eikti, pieņemot skolēnu skaitu 24</w:t>
            </w:r>
            <w:r w:rsidR="00191213" w:rsidRPr="00EE6D6E">
              <w:rPr>
                <w:sz w:val="22"/>
                <w:szCs w:val="22"/>
              </w:rPr>
              <w:t xml:space="preserve"> un +1 (pedagogs)</w:t>
            </w:r>
            <w:r w:rsidR="003A52D7">
              <w:rPr>
                <w:sz w:val="22"/>
                <w:szCs w:val="22"/>
              </w:rPr>
              <w:t>, kā arī rezervi +20%</w:t>
            </w:r>
            <w:r w:rsidR="00191213" w:rsidRPr="00EE6D6E">
              <w:rPr>
                <w:sz w:val="22"/>
                <w:szCs w:val="22"/>
              </w:rPr>
              <w:t>.</w:t>
            </w:r>
            <w:bookmarkStart w:id="0" w:name="_GoBack"/>
            <w:bookmarkEnd w:id="0"/>
          </w:p>
        </w:tc>
      </w:tr>
      <w:tr w:rsidR="00D42935" w:rsidRPr="00D42935" w:rsidTr="001A1CEF">
        <w:tc>
          <w:tcPr>
            <w:tcW w:w="996" w:type="dxa"/>
          </w:tcPr>
          <w:p w:rsidR="000869F1" w:rsidRPr="00D42935" w:rsidRDefault="0010206D" w:rsidP="00E552C3">
            <w:pPr>
              <w:pStyle w:val="ListParagraph"/>
              <w:spacing w:before="120" w:after="120"/>
              <w:ind w:left="0"/>
              <w:contextualSpacing w:val="0"/>
              <w:jc w:val="both"/>
              <w:rPr>
                <w:sz w:val="22"/>
                <w:szCs w:val="22"/>
              </w:rPr>
            </w:pPr>
            <w:r w:rsidRPr="00D42935">
              <w:rPr>
                <w:sz w:val="22"/>
                <w:szCs w:val="22"/>
              </w:rPr>
              <w:t>33.1.</w:t>
            </w:r>
          </w:p>
        </w:tc>
        <w:tc>
          <w:tcPr>
            <w:tcW w:w="2835" w:type="dxa"/>
          </w:tcPr>
          <w:p w:rsidR="001A1CEF" w:rsidRPr="00D42935" w:rsidRDefault="001A1CEF" w:rsidP="001A1CEF">
            <w:pPr>
              <w:tabs>
                <w:tab w:val="left" w:pos="0"/>
              </w:tabs>
              <w:spacing w:before="120"/>
              <w:jc w:val="both"/>
              <w:rPr>
                <w:rFonts w:eastAsia="Calibri"/>
                <w:sz w:val="22"/>
                <w:szCs w:val="22"/>
              </w:rPr>
            </w:pPr>
            <w:r w:rsidRPr="00D42935">
              <w:rPr>
                <w:rFonts w:eastAsia="Calibri"/>
                <w:sz w:val="22"/>
                <w:szCs w:val="22"/>
              </w:rPr>
              <w:t>Ēkai kopumā un katrai no būvniecības kārtām atsevišķi, enerģijas patēriņš apkures vajadzībām nedrīkst pārsniegt 40 kWh/m</w:t>
            </w:r>
            <w:r w:rsidRPr="00D42935">
              <w:rPr>
                <w:rFonts w:eastAsia="Calibri"/>
                <w:sz w:val="22"/>
                <w:szCs w:val="22"/>
                <w:vertAlign w:val="superscript"/>
              </w:rPr>
              <w:t>2</w:t>
            </w:r>
            <w:r w:rsidRPr="00D42935">
              <w:rPr>
                <w:rFonts w:eastAsia="Calibri"/>
                <w:sz w:val="22"/>
                <w:szCs w:val="22"/>
              </w:rPr>
              <w:t xml:space="preserve"> gadā, vienlaikus nodrošinot telpu mikroklimata atbilstību normatīvo aktu prasībām būvniecības, higiēnas un darba aizsardzības jomā.</w:t>
            </w:r>
          </w:p>
          <w:p w:rsidR="000869F1" w:rsidRPr="00D42935" w:rsidRDefault="000869F1" w:rsidP="00E552C3">
            <w:pPr>
              <w:pStyle w:val="ListParagraph"/>
              <w:spacing w:before="120" w:after="120"/>
              <w:ind w:left="0"/>
              <w:contextualSpacing w:val="0"/>
              <w:jc w:val="both"/>
              <w:rPr>
                <w:sz w:val="22"/>
                <w:szCs w:val="22"/>
              </w:rPr>
            </w:pPr>
          </w:p>
        </w:tc>
        <w:tc>
          <w:tcPr>
            <w:tcW w:w="3683" w:type="dxa"/>
          </w:tcPr>
          <w:p w:rsidR="0010206D" w:rsidRPr="00D42935" w:rsidRDefault="0010206D" w:rsidP="0010206D">
            <w:pPr>
              <w:tabs>
                <w:tab w:val="left" w:pos="0"/>
              </w:tabs>
              <w:spacing w:before="120"/>
              <w:jc w:val="both"/>
              <w:rPr>
                <w:rFonts w:eastAsia="Calibri"/>
                <w:sz w:val="22"/>
                <w:szCs w:val="22"/>
              </w:rPr>
            </w:pPr>
            <w:r w:rsidRPr="00D42935">
              <w:rPr>
                <w:rFonts w:eastAsia="Calibri"/>
                <w:sz w:val="22"/>
                <w:szCs w:val="22"/>
              </w:rPr>
              <w:t xml:space="preserve">Ēkai kopumā un katrai no būvniecības kārtām atsevišķi, enerģijas patēriņš apkures vajadzībām </w:t>
            </w:r>
            <w:r w:rsidRPr="00D42935">
              <w:rPr>
                <w:rFonts w:eastAsia="Calibri"/>
                <w:sz w:val="22"/>
                <w:szCs w:val="22"/>
                <w:highlight w:val="cyan"/>
              </w:rPr>
              <w:t>nedrīkst pārsniegt likumdošanā noteikto rādītāju publiskām ēkām</w:t>
            </w:r>
            <w:r w:rsidRPr="00D42935">
              <w:rPr>
                <w:rFonts w:eastAsia="Calibri"/>
                <w:sz w:val="22"/>
                <w:szCs w:val="22"/>
              </w:rPr>
              <w:t xml:space="preserve"> </w:t>
            </w:r>
            <w:r w:rsidRPr="00D42935">
              <w:rPr>
                <w:rFonts w:eastAsia="Calibri"/>
                <w:dstrike/>
                <w:sz w:val="22"/>
                <w:szCs w:val="22"/>
                <w:highlight w:val="cyan"/>
              </w:rPr>
              <w:t>40</w:t>
            </w:r>
            <w:r w:rsidRPr="00D42935">
              <w:rPr>
                <w:rFonts w:eastAsia="Calibri"/>
                <w:sz w:val="22"/>
                <w:szCs w:val="22"/>
              </w:rPr>
              <w:t xml:space="preserve"> </w:t>
            </w:r>
            <w:r w:rsidRPr="00D42935">
              <w:rPr>
                <w:rFonts w:eastAsia="Calibri"/>
                <w:sz w:val="22"/>
                <w:szCs w:val="22"/>
                <w:highlight w:val="cyan"/>
              </w:rPr>
              <w:t>45</w:t>
            </w:r>
            <w:r w:rsidRPr="00D42935">
              <w:rPr>
                <w:rFonts w:eastAsia="Calibri"/>
                <w:sz w:val="22"/>
                <w:szCs w:val="22"/>
              </w:rPr>
              <w:t xml:space="preserve"> kWh/m</w:t>
            </w:r>
            <w:r w:rsidRPr="00D42935">
              <w:rPr>
                <w:rFonts w:eastAsia="Calibri"/>
                <w:sz w:val="22"/>
                <w:szCs w:val="22"/>
                <w:vertAlign w:val="superscript"/>
              </w:rPr>
              <w:t>2</w:t>
            </w:r>
            <w:r w:rsidRPr="00D42935">
              <w:rPr>
                <w:rFonts w:eastAsia="Calibri"/>
                <w:sz w:val="22"/>
                <w:szCs w:val="22"/>
              </w:rPr>
              <w:t xml:space="preserve"> gadā, vienlaikus nodrošinot telpu mikroklimata atbilstību normatīvo aktu prasībām būvniecības, higiēnas un darba aizsardzības jomā.</w:t>
            </w:r>
          </w:p>
          <w:p w:rsidR="000869F1" w:rsidRPr="00D42935" w:rsidRDefault="000869F1" w:rsidP="00E552C3">
            <w:pPr>
              <w:pStyle w:val="ListParagraph"/>
              <w:spacing w:before="120" w:after="120"/>
              <w:ind w:left="0"/>
              <w:contextualSpacing w:val="0"/>
              <w:jc w:val="both"/>
              <w:rPr>
                <w:sz w:val="22"/>
                <w:szCs w:val="22"/>
              </w:rPr>
            </w:pPr>
          </w:p>
        </w:tc>
        <w:tc>
          <w:tcPr>
            <w:tcW w:w="2976" w:type="dxa"/>
          </w:tcPr>
          <w:p w:rsidR="001A1CEF" w:rsidRPr="00EE6D6E" w:rsidRDefault="001A1CEF" w:rsidP="001A1CEF">
            <w:pPr>
              <w:tabs>
                <w:tab w:val="left" w:pos="0"/>
              </w:tabs>
              <w:spacing w:before="120"/>
              <w:jc w:val="both"/>
              <w:rPr>
                <w:rFonts w:eastAsia="Calibri"/>
                <w:sz w:val="22"/>
                <w:szCs w:val="22"/>
              </w:rPr>
            </w:pPr>
            <w:r w:rsidRPr="00EE6D6E">
              <w:rPr>
                <w:rFonts w:eastAsia="Calibri"/>
                <w:sz w:val="22"/>
                <w:szCs w:val="22"/>
              </w:rPr>
              <w:t xml:space="preserve">Pēc noteikta rādītāja </w:t>
            </w:r>
            <w:proofErr w:type="spellStart"/>
            <w:r w:rsidRPr="00EE6D6E">
              <w:rPr>
                <w:rFonts w:eastAsia="Calibri"/>
                <w:sz w:val="22"/>
                <w:szCs w:val="22"/>
              </w:rPr>
              <w:t>sasnoiegšanas</w:t>
            </w:r>
            <w:proofErr w:type="spellEnd"/>
            <w:r w:rsidRPr="00EE6D6E">
              <w:rPr>
                <w:rFonts w:eastAsia="Calibri"/>
                <w:sz w:val="22"/>
                <w:szCs w:val="22"/>
              </w:rPr>
              <w:t xml:space="preserve">, katrs papildus ietaupītais 1 kWh/m2 gadā prasa investīcijas, kas ir nesamērīgas pret ietaupījumu ekspluatācijā. Tāpēc skolas projekta darba grupas pirmajās sanāksmēs mēs vienojāmies ierakstīt tādu rādītāju, kurš būtu minimāli nepieciešams pēc </w:t>
            </w:r>
            <w:proofErr w:type="spellStart"/>
            <w:r w:rsidRPr="00EE6D6E">
              <w:rPr>
                <w:rFonts w:eastAsia="Calibri"/>
                <w:sz w:val="22"/>
                <w:szCs w:val="22"/>
              </w:rPr>
              <w:t>likumdošans</w:t>
            </w:r>
            <w:proofErr w:type="spellEnd"/>
            <w:r w:rsidRPr="00EE6D6E">
              <w:rPr>
                <w:rFonts w:eastAsia="Calibri"/>
                <w:sz w:val="22"/>
                <w:szCs w:val="22"/>
              </w:rPr>
              <w:t xml:space="preserve"> tajā gadā, kad paredzēta skolas jaunbūves nodošana ekspluatācijā. Priekš publiskām ēkām tas ir 45 kWh/m2 gadā. Ar šo rādītāju ēka jau ir gandrīz pasīva ēka, ēkai ir energoefektivitātes augstākā “A” </w:t>
            </w:r>
            <w:proofErr w:type="spellStart"/>
            <w:r w:rsidRPr="00EE6D6E">
              <w:rPr>
                <w:rFonts w:eastAsia="Calibri"/>
                <w:sz w:val="22"/>
                <w:szCs w:val="22"/>
              </w:rPr>
              <w:t>klasse</w:t>
            </w:r>
            <w:proofErr w:type="spellEnd"/>
            <w:r w:rsidRPr="00EE6D6E">
              <w:rPr>
                <w:rFonts w:eastAsia="Calibri"/>
                <w:sz w:val="22"/>
                <w:szCs w:val="22"/>
              </w:rPr>
              <w:t xml:space="preserve">. Tā kā iepirkuma nolikumā mums ir </w:t>
            </w:r>
            <w:r w:rsidRPr="00EE6D6E">
              <w:rPr>
                <w:rFonts w:eastAsia="Calibri"/>
                <w:sz w:val="22"/>
                <w:szCs w:val="22"/>
              </w:rPr>
              <w:lastRenderedPageBreak/>
              <w:t xml:space="preserve">strikta ierobežojošā prasība pēc būvniecības izmaksām, </w:t>
            </w:r>
            <w:proofErr w:type="gramStart"/>
            <w:r w:rsidRPr="00EE6D6E">
              <w:rPr>
                <w:rFonts w:eastAsia="Calibri"/>
                <w:sz w:val="22"/>
                <w:szCs w:val="22"/>
              </w:rPr>
              <w:t>uzskatu ka</w:t>
            </w:r>
            <w:proofErr w:type="gramEnd"/>
            <w:r w:rsidRPr="00EE6D6E">
              <w:rPr>
                <w:rFonts w:eastAsia="Calibri"/>
                <w:sz w:val="22"/>
                <w:szCs w:val="22"/>
              </w:rPr>
              <w:t xml:space="preserve"> mēs nevaram prasīt sasniegt </w:t>
            </w:r>
            <w:proofErr w:type="spellStart"/>
            <w:r w:rsidRPr="00EE6D6E">
              <w:rPr>
                <w:rFonts w:eastAsia="Calibri"/>
                <w:sz w:val="22"/>
                <w:szCs w:val="22"/>
              </w:rPr>
              <w:t>energoefiktivitātes</w:t>
            </w:r>
            <w:proofErr w:type="spellEnd"/>
            <w:r w:rsidRPr="00EE6D6E">
              <w:rPr>
                <w:rFonts w:eastAsia="Calibri"/>
                <w:sz w:val="22"/>
                <w:szCs w:val="22"/>
              </w:rPr>
              <w:t xml:space="preserve"> rādītāju, kas ir vēl augstāks un prasa lielākas investīcijas. Pašlaik Ādažos nav nevienas “A” klases publiskas ēkas, piemēram, ĀVS un Kultūrizglītības centrs ir “D” klases ēkas, bet Kadagas PII ir “F” klases ēka. Kā alternatīvu piedāvāju nerakstīt p.33.1. konkrētu rādītāju, bet norādīt, ka ir jānodrošina ēkas “A” klases energoefektivitātes klase.</w:t>
            </w:r>
          </w:p>
          <w:p w:rsidR="000869F1" w:rsidRPr="00EE6D6E" w:rsidRDefault="000869F1" w:rsidP="00E552C3">
            <w:pPr>
              <w:pStyle w:val="ListParagraph"/>
              <w:spacing w:before="120" w:after="120"/>
              <w:ind w:left="0"/>
              <w:contextualSpacing w:val="0"/>
              <w:jc w:val="both"/>
              <w:rPr>
                <w:sz w:val="22"/>
                <w:szCs w:val="22"/>
              </w:rPr>
            </w:pPr>
          </w:p>
        </w:tc>
      </w:tr>
    </w:tbl>
    <w:p w:rsidR="00C2013B" w:rsidRDefault="00C2013B" w:rsidP="00C2013B">
      <w:pPr>
        <w:pStyle w:val="ListParagraph"/>
        <w:spacing w:before="120" w:after="120"/>
        <w:ind w:left="709"/>
        <w:contextualSpacing w:val="0"/>
        <w:jc w:val="both"/>
      </w:pPr>
    </w:p>
    <w:p w:rsidR="00466995" w:rsidRDefault="00466995" w:rsidP="002524FB">
      <w:pPr>
        <w:pStyle w:val="ListParagraph"/>
        <w:numPr>
          <w:ilvl w:val="0"/>
          <w:numId w:val="3"/>
        </w:numPr>
        <w:spacing w:before="120" w:after="120"/>
        <w:ind w:left="709" w:hanging="709"/>
        <w:contextualSpacing w:val="0"/>
        <w:jc w:val="both"/>
      </w:pPr>
      <w:r>
        <w:t>Komisija diskutē par veicamajām izmaiņām un uzklausa N.Masaļska paskaidrojumus.</w:t>
      </w:r>
    </w:p>
    <w:p w:rsidR="00DF3B79" w:rsidRDefault="00235954" w:rsidP="002524FB">
      <w:pPr>
        <w:pStyle w:val="ListParagraph"/>
        <w:numPr>
          <w:ilvl w:val="0"/>
          <w:numId w:val="3"/>
        </w:numPr>
        <w:spacing w:before="120" w:after="120"/>
        <w:ind w:left="709" w:hanging="709"/>
        <w:contextualSpacing w:val="0"/>
        <w:jc w:val="both"/>
      </w:pPr>
      <w:r>
        <w:t xml:space="preserve">Komisija secina, ka ir saskatāms </w:t>
      </w:r>
      <w:r w:rsidR="00DF3B79">
        <w:t xml:space="preserve">objektīvs pamatojums </w:t>
      </w:r>
      <w:r w:rsidR="001A1CEF">
        <w:t xml:space="preserve">Normunda Masaļska un </w:t>
      </w:r>
      <w:r w:rsidR="00DF3B79">
        <w:t xml:space="preserve">SIA “Nams” pieprasīto izmaiņu veikšanai </w:t>
      </w:r>
      <w:r w:rsidR="00EC077A">
        <w:t>darba uzdevumā</w:t>
      </w:r>
      <w:r w:rsidR="0064289A">
        <w:t>, lai nodrošinātu tiesiskas, finansiāli optimālas un kvalitatīvas prasības attiecībā uz ventilācijas sistēmu un sasniedzamo energoefektivitātes rādītāju</w:t>
      </w:r>
      <w:r w:rsidR="00DF3B79">
        <w:t xml:space="preserve">. Komisija apspriež, ka pieprasītās izmaiņas </w:t>
      </w:r>
      <w:r w:rsidR="00D42935">
        <w:t>darba uzdevumā</w:t>
      </w:r>
      <w:r w:rsidR="00F608F7">
        <w:t xml:space="preserve"> ir racionāli nepieciešamas un tās</w:t>
      </w:r>
      <w:r w:rsidR="00D42935">
        <w:t xml:space="preserve"> </w:t>
      </w:r>
      <w:r w:rsidR="00DF3B79">
        <w:t>nevar uzskatīt par būtiskām</w:t>
      </w:r>
      <w:r w:rsidR="00D42935">
        <w:t xml:space="preserve"> publisko iepirkumu jomas izpratnē</w:t>
      </w:r>
      <w:r w:rsidR="00DF3B79">
        <w:t xml:space="preserve">, jo, ja tās būtu kļuvušas zināmas iepirkuma (sarunu procedūras) stadijā, tās nebūtu ietekmējušas iepirkuma </w:t>
      </w:r>
      <w:r w:rsidR="00DA30C3" w:rsidRPr="007D422C">
        <w:t>„JAUNAS SKOLAS ĒKAS ĀDAŽOS PROJEKTĒŠANAS UN AUTORUZRAUDZĪBAS PAKALPOJUMI”</w:t>
      </w:r>
      <w:r w:rsidR="00DA30C3">
        <w:t xml:space="preserve"> (ID.Nr.: ĀND 2016/164) rezultātu</w:t>
      </w:r>
      <w:r w:rsidR="00DF3B79">
        <w:t xml:space="preserve"> tādējādi, ka tas būtu bijis atšķirīgs.</w:t>
      </w:r>
      <w:r w:rsidR="00D42935">
        <w:t xml:space="preserve"> Tāpat arī komisija apspriež, ka neviens no veiktajiem precizējumiem darba uzdevumā</w:t>
      </w:r>
      <w:r w:rsidR="0065225F">
        <w:t xml:space="preserve"> nekādā veidā neietekmē arī </w:t>
      </w:r>
      <w:r w:rsidR="008D2A86" w:rsidRPr="00407C53">
        <w:t>metu konkursa „Jauna skolas ēka Ādažos” (ID.Nr.: ĀND 2016/26)</w:t>
      </w:r>
      <w:r w:rsidR="008D2A86">
        <w:t xml:space="preserve"> rezultātu tādējādi, ka tas būtu bijis atšķirīgs.</w:t>
      </w:r>
    </w:p>
    <w:p w:rsidR="00CF6D6A" w:rsidRDefault="00DE22AD" w:rsidP="002524FB">
      <w:pPr>
        <w:pStyle w:val="ListParagraph"/>
        <w:numPr>
          <w:ilvl w:val="0"/>
          <w:numId w:val="3"/>
        </w:numPr>
        <w:spacing w:before="120" w:after="120"/>
        <w:ind w:left="709" w:hanging="709"/>
        <w:contextualSpacing w:val="0"/>
        <w:jc w:val="both"/>
      </w:pPr>
      <w:r>
        <w:t>Komisija apspriež, ka</w:t>
      </w:r>
      <w:r w:rsidR="00F608F7">
        <w:t xml:space="preserve"> papildus</w:t>
      </w:r>
      <w:r>
        <w:t xml:space="preserve"> nepieciešams atgādināt projektētājam SIA “Nams” par Publisko iepirkumu likuma </w:t>
      </w:r>
      <w:r w:rsidR="00A6305B">
        <w:t>20.panta sestās daļas aizliegumu iekļaut projektā (kas nākotnē būs būvniecības iepirkuma tehniskā specifikācija) norādes uz konkrētiem ražojumiem, nesniedzot atsauci uz ekvivalenci un neaprakstot ekvivalences rādītājus.</w:t>
      </w:r>
    </w:p>
    <w:p w:rsidR="00CF6D6A" w:rsidRDefault="00CF6D6A" w:rsidP="00CF6D6A">
      <w:pPr>
        <w:pStyle w:val="ListParagraph"/>
        <w:ind w:left="709"/>
        <w:jc w:val="both"/>
      </w:pPr>
    </w:p>
    <w:p w:rsidR="00CF6D6A" w:rsidRPr="005938A4" w:rsidRDefault="00CF6D6A" w:rsidP="00CF6D6A">
      <w:pPr>
        <w:shd w:val="clear" w:color="auto" w:fill="C2D69B"/>
        <w:jc w:val="both"/>
        <w:rPr>
          <w:b/>
          <w:bCs/>
        </w:rPr>
      </w:pPr>
      <w:r w:rsidRPr="005938A4">
        <w:rPr>
          <w:b/>
          <w:bCs/>
        </w:rPr>
        <w:t xml:space="preserve">Komisija </w:t>
      </w:r>
      <w:r>
        <w:rPr>
          <w:b/>
          <w:bCs/>
        </w:rPr>
        <w:t xml:space="preserve">vienbalsīgi </w:t>
      </w:r>
      <w:r w:rsidRPr="005938A4">
        <w:rPr>
          <w:b/>
          <w:bCs/>
        </w:rPr>
        <w:t xml:space="preserve">nolemj: </w:t>
      </w:r>
    </w:p>
    <w:p w:rsidR="00CF6D6A" w:rsidRPr="00EF3E7B" w:rsidRDefault="00CF6D6A" w:rsidP="00EF3E7B">
      <w:pPr>
        <w:numPr>
          <w:ilvl w:val="0"/>
          <w:numId w:val="9"/>
        </w:numPr>
        <w:shd w:val="clear" w:color="auto" w:fill="C2D69B"/>
        <w:spacing w:before="120" w:after="120"/>
        <w:ind w:right="45" w:hanging="720"/>
        <w:jc w:val="both"/>
        <w:rPr>
          <w:b/>
        </w:rPr>
      </w:pPr>
      <w:r w:rsidRPr="00EF3E7B">
        <w:rPr>
          <w:b/>
        </w:rPr>
        <w:t xml:space="preserve">Akceptēt </w:t>
      </w:r>
      <w:r w:rsidR="00DD7888" w:rsidRPr="00EF3E7B">
        <w:rPr>
          <w:b/>
        </w:rPr>
        <w:t xml:space="preserve">Normunda Masaļska un </w:t>
      </w:r>
      <w:r w:rsidRPr="00EF3E7B">
        <w:rPr>
          <w:b/>
          <w:sz w:val="22"/>
          <w:szCs w:val="22"/>
        </w:rPr>
        <w:t>SIA “Nams” pieprasīt</w:t>
      </w:r>
      <w:r w:rsidR="002524FB" w:rsidRPr="00EF3E7B">
        <w:rPr>
          <w:b/>
          <w:sz w:val="22"/>
          <w:szCs w:val="22"/>
        </w:rPr>
        <w:t>o</w:t>
      </w:r>
      <w:r w:rsidRPr="00EF3E7B">
        <w:rPr>
          <w:b/>
          <w:sz w:val="22"/>
          <w:szCs w:val="22"/>
        </w:rPr>
        <w:t xml:space="preserve"> </w:t>
      </w:r>
      <w:r w:rsidRPr="00EF3E7B">
        <w:rPr>
          <w:b/>
        </w:rPr>
        <w:t>izmaiņ</w:t>
      </w:r>
      <w:r w:rsidR="002524FB" w:rsidRPr="00EF3E7B">
        <w:rPr>
          <w:b/>
        </w:rPr>
        <w:t>u veikšanu</w:t>
      </w:r>
      <w:r w:rsidRPr="00EF3E7B">
        <w:rPr>
          <w:b/>
        </w:rPr>
        <w:t xml:space="preserve"> darba uzdevumā, mainot darba uzdevumu N.</w:t>
      </w:r>
      <w:r w:rsidR="00EF3E7B" w:rsidRPr="00EF3E7B">
        <w:rPr>
          <w:b/>
        </w:rPr>
        <w:t>Masaļska sagatavotajā redakcijā;</w:t>
      </w:r>
    </w:p>
    <w:p w:rsidR="00EF3E7B" w:rsidRPr="00EF3E7B" w:rsidRDefault="00EF3E7B" w:rsidP="00EF3E7B">
      <w:pPr>
        <w:numPr>
          <w:ilvl w:val="0"/>
          <w:numId w:val="9"/>
        </w:numPr>
        <w:shd w:val="clear" w:color="auto" w:fill="C2D69B"/>
        <w:spacing w:before="120" w:after="120"/>
        <w:ind w:right="45" w:hanging="720"/>
        <w:jc w:val="both"/>
        <w:rPr>
          <w:b/>
        </w:rPr>
      </w:pPr>
      <w:r w:rsidRPr="00EF3E7B">
        <w:rPr>
          <w:b/>
        </w:rPr>
        <w:t xml:space="preserve">Normundam Masaļskim norādīt SIA “Nams” uz Publisko iepirkumu likuma 20.panta sestās daļas aizliegumu iekļaut projektā (kas nākotnē būs būvniecības iepirkuma tehniskā specifikācija) norādes uz konkrētiem </w:t>
      </w:r>
      <w:r w:rsidRPr="00EF3E7B">
        <w:rPr>
          <w:b/>
        </w:rPr>
        <w:lastRenderedPageBreak/>
        <w:t>ražojumiem, nesniedzot atsauci uz ekvivalenci un neaprakstot ekvivalences rādītājus.</w:t>
      </w:r>
    </w:p>
    <w:p w:rsidR="00CF6D6A" w:rsidRPr="005938A4" w:rsidRDefault="00CF6D6A" w:rsidP="00CF6D6A">
      <w:pPr>
        <w:ind w:hanging="720"/>
        <w:jc w:val="both"/>
        <w:rPr>
          <w:b/>
          <w:bCs/>
        </w:rPr>
      </w:pPr>
    </w:p>
    <w:p w:rsidR="00CF6D6A" w:rsidRPr="005938A4" w:rsidRDefault="00CF6D6A" w:rsidP="00CF6D6A">
      <w:pPr>
        <w:jc w:val="both"/>
      </w:pPr>
      <w:r w:rsidRPr="005938A4">
        <w:rPr>
          <w:b/>
          <w:bCs/>
        </w:rPr>
        <w:t>Sēdi slēdz:</w:t>
      </w:r>
      <w:r w:rsidRPr="005938A4">
        <w:t xml:space="preserve"> </w:t>
      </w:r>
    </w:p>
    <w:p w:rsidR="00CF6D6A" w:rsidRPr="005938A4" w:rsidRDefault="00CF6D6A" w:rsidP="00CF6D6A">
      <w:pPr>
        <w:ind w:firstLine="720"/>
        <w:jc w:val="both"/>
      </w:pPr>
      <w:r w:rsidRPr="005938A4">
        <w:t>Komisijas pri</w:t>
      </w:r>
      <w:r>
        <w:t>ekšsēdētājs sēdi slēdz plkst. 1</w:t>
      </w:r>
      <w:r w:rsidR="00EF3E7B">
        <w:t>2</w:t>
      </w:r>
      <w:r>
        <w:t>:3</w:t>
      </w:r>
      <w:r w:rsidRPr="005938A4">
        <w:t>0.</w:t>
      </w:r>
    </w:p>
    <w:p w:rsidR="00CF6D6A" w:rsidRPr="005938A4" w:rsidRDefault="00CF6D6A" w:rsidP="00CF6D6A">
      <w:pPr>
        <w:ind w:firstLine="720"/>
        <w:jc w:val="both"/>
      </w:pPr>
    </w:p>
    <w:p w:rsidR="00CF6D6A" w:rsidRPr="005938A4" w:rsidRDefault="00CF6D6A" w:rsidP="00CF6D6A">
      <w:pPr>
        <w:jc w:val="both"/>
        <w:rPr>
          <w:b/>
        </w:rPr>
      </w:pPr>
      <w:r w:rsidRPr="005938A4">
        <w:rPr>
          <w:b/>
        </w:rPr>
        <w:t xml:space="preserve">Pielikumā: </w:t>
      </w:r>
    </w:p>
    <w:p w:rsidR="00CF6D6A" w:rsidRDefault="00CF6D6A" w:rsidP="008B300D">
      <w:pPr>
        <w:numPr>
          <w:ilvl w:val="0"/>
          <w:numId w:val="8"/>
        </w:numPr>
        <w:jc w:val="both"/>
      </w:pPr>
      <w:r w:rsidRPr="0050357D">
        <w:t>SIA “</w:t>
      </w:r>
      <w:r w:rsidR="008B300D">
        <w:t>Nams</w:t>
      </w:r>
      <w:r w:rsidRPr="0050357D">
        <w:t>”</w:t>
      </w:r>
      <w:r w:rsidR="008B300D">
        <w:t xml:space="preserve"> vēstule</w:t>
      </w:r>
      <w:r w:rsidR="000F37BE">
        <w:t xml:space="preserve"> un tās pielikumi</w:t>
      </w:r>
      <w:r>
        <w:t>;</w:t>
      </w:r>
    </w:p>
    <w:p w:rsidR="00C62695" w:rsidRDefault="00C62695" w:rsidP="00C62695">
      <w:pPr>
        <w:numPr>
          <w:ilvl w:val="0"/>
          <w:numId w:val="8"/>
        </w:numPr>
        <w:jc w:val="both"/>
      </w:pPr>
      <w:r>
        <w:t>N.Masaļska iesniegums</w:t>
      </w:r>
      <w:r w:rsidR="000F37BE">
        <w:t xml:space="preserve"> un tās pielikumi</w:t>
      </w:r>
      <w:r>
        <w:t>.</w:t>
      </w:r>
    </w:p>
    <w:p w:rsidR="00CC44F2" w:rsidRDefault="00CC44F2" w:rsidP="00CC44F2">
      <w:pPr>
        <w:pStyle w:val="ListParagraph"/>
        <w:ind w:left="709"/>
        <w:jc w:val="both"/>
      </w:pPr>
    </w:p>
    <w:p w:rsidR="00272811" w:rsidRDefault="00272811" w:rsidP="00272811"/>
    <w:p w:rsidR="00272811" w:rsidRDefault="00272811" w:rsidP="00272811">
      <w:pPr>
        <w:jc w:val="both"/>
      </w:pPr>
    </w:p>
    <w:p w:rsidR="00272811" w:rsidRDefault="00272811" w:rsidP="00272811">
      <w:pPr>
        <w:ind w:right="-694"/>
        <w:jc w:val="both"/>
      </w:pPr>
      <w:r>
        <w:t xml:space="preserve">Komisijas priekšsēdētājs: </w:t>
      </w:r>
      <w:r>
        <w:tab/>
      </w:r>
      <w:r>
        <w:tab/>
        <w:t>_____________________</w:t>
      </w:r>
      <w:r>
        <w:tab/>
        <w:t xml:space="preserve">A. Brūvers </w:t>
      </w:r>
    </w:p>
    <w:p w:rsidR="00272811" w:rsidRDefault="00272811" w:rsidP="00272811">
      <w:pPr>
        <w:ind w:right="-694"/>
        <w:jc w:val="both"/>
      </w:pPr>
    </w:p>
    <w:p w:rsidR="00BE502E" w:rsidRDefault="00272811" w:rsidP="003766AC">
      <w:pPr>
        <w:ind w:right="-694"/>
        <w:jc w:val="both"/>
      </w:pPr>
      <w:r>
        <w:t>Komisijas locekļi:</w:t>
      </w:r>
      <w:r>
        <w:tab/>
      </w:r>
      <w:r>
        <w:tab/>
      </w:r>
      <w:r>
        <w:tab/>
      </w:r>
      <w:r w:rsidR="00BE502E">
        <w:t>_____________________</w:t>
      </w:r>
      <w:r w:rsidR="00BE502E">
        <w:tab/>
      </w:r>
      <w:r w:rsidR="00766450">
        <w:t>S. Grīnbergs</w:t>
      </w:r>
    </w:p>
    <w:p w:rsidR="0020090F" w:rsidRDefault="0020090F" w:rsidP="00272811"/>
    <w:p w:rsidR="00E63A48" w:rsidRDefault="00E63A48" w:rsidP="00272811">
      <w:r>
        <w:tab/>
      </w:r>
      <w:r>
        <w:tab/>
      </w:r>
      <w:r>
        <w:tab/>
      </w:r>
      <w:r>
        <w:tab/>
      </w:r>
      <w:r>
        <w:tab/>
        <w:t>_____________________</w:t>
      </w:r>
      <w:r>
        <w:tab/>
      </w:r>
      <w:r w:rsidR="00766450">
        <w:t>I. Grīviņa</w:t>
      </w:r>
    </w:p>
    <w:p w:rsidR="00766450" w:rsidRDefault="00766450" w:rsidP="00272811"/>
    <w:p w:rsidR="00766450" w:rsidRDefault="00766450" w:rsidP="00272811">
      <w:r>
        <w:tab/>
      </w:r>
      <w:r>
        <w:tab/>
      </w:r>
      <w:r>
        <w:tab/>
      </w:r>
      <w:r>
        <w:tab/>
      </w:r>
      <w:r>
        <w:tab/>
        <w:t>_____________________</w:t>
      </w:r>
      <w:r>
        <w:tab/>
        <w:t>E. Kāpa</w:t>
      </w:r>
    </w:p>
    <w:p w:rsidR="00766450" w:rsidRDefault="00766450" w:rsidP="00272811"/>
    <w:p w:rsidR="00993803" w:rsidRDefault="00993803" w:rsidP="00993803">
      <w:r>
        <w:tab/>
      </w:r>
      <w:r>
        <w:tab/>
      </w:r>
      <w:r>
        <w:tab/>
      </w:r>
      <w:r>
        <w:tab/>
      </w:r>
      <w:r>
        <w:tab/>
        <w:t>_____________________</w:t>
      </w:r>
      <w:r>
        <w:tab/>
        <w:t>R. Šteina</w:t>
      </w:r>
    </w:p>
    <w:p w:rsidR="00993803" w:rsidRDefault="00993803" w:rsidP="00993803"/>
    <w:p w:rsidR="00993803" w:rsidRDefault="00993803" w:rsidP="00993803">
      <w:r>
        <w:tab/>
      </w:r>
      <w:r>
        <w:tab/>
      </w:r>
      <w:r>
        <w:tab/>
      </w:r>
      <w:r>
        <w:tab/>
      </w:r>
      <w:r>
        <w:tab/>
        <w:t>_____________________</w:t>
      </w:r>
      <w:r>
        <w:tab/>
        <w:t>V. Bulāns</w:t>
      </w:r>
    </w:p>
    <w:p w:rsidR="00766450" w:rsidRDefault="00766450" w:rsidP="00272811"/>
    <w:p w:rsidR="00766450" w:rsidRDefault="00766450" w:rsidP="00272811">
      <w:r>
        <w:tab/>
      </w:r>
      <w:r>
        <w:tab/>
      </w:r>
      <w:r>
        <w:tab/>
      </w:r>
      <w:r>
        <w:tab/>
      </w:r>
      <w:r>
        <w:tab/>
        <w:t>_____________________</w:t>
      </w:r>
      <w:r>
        <w:tab/>
        <w:t>H. Krasts</w:t>
      </w:r>
    </w:p>
    <w:p w:rsidR="00D15748" w:rsidRDefault="00D15748" w:rsidP="00272811"/>
    <w:p w:rsidR="00D15748" w:rsidRDefault="00386D31" w:rsidP="00272811">
      <w:r>
        <w:t>Eksperts</w:t>
      </w:r>
      <w:r w:rsidR="00D15748">
        <w:t>:</w:t>
      </w:r>
      <w:r w:rsidR="00D15748">
        <w:tab/>
      </w:r>
      <w:r w:rsidR="00D15748">
        <w:tab/>
      </w:r>
      <w:r w:rsidR="00D15748">
        <w:tab/>
      </w:r>
      <w:r w:rsidR="00D15748">
        <w:tab/>
        <w:t>_____________________</w:t>
      </w:r>
      <w:r w:rsidR="00D15748">
        <w:tab/>
        <w:t>N. Masaļskis</w:t>
      </w:r>
    </w:p>
    <w:p w:rsidR="00D15748" w:rsidRDefault="00D15748" w:rsidP="00272811"/>
    <w:p w:rsidR="00272811" w:rsidRDefault="003F2614" w:rsidP="00272811">
      <w:r>
        <w:t>Sekretāre:</w:t>
      </w:r>
      <w:r>
        <w:tab/>
      </w:r>
      <w:r>
        <w:tab/>
      </w:r>
      <w:r>
        <w:tab/>
      </w:r>
      <w:r w:rsidR="00D15748">
        <w:t>_____________________</w:t>
      </w:r>
      <w:r w:rsidR="00D15748">
        <w:tab/>
        <w:t>A. Liepiņa</w:t>
      </w:r>
      <w:r>
        <w:t>-Jākobsone</w:t>
      </w:r>
      <w:r w:rsidR="00B5557C">
        <w:tab/>
      </w:r>
    </w:p>
    <w:p w:rsidR="00272811" w:rsidRDefault="00272811" w:rsidP="00272811"/>
    <w:p w:rsidR="006B6501" w:rsidRDefault="006B6501"/>
    <w:sectPr w:rsidR="006B6501" w:rsidSect="002524FB">
      <w:pgSz w:w="11906" w:h="16838"/>
      <w:pgMar w:top="141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290A4C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15B866DB"/>
    <w:multiLevelType w:val="hybridMultilevel"/>
    <w:tmpl w:val="50C0491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nsid w:val="1A4A4F64"/>
    <w:multiLevelType w:val="hybridMultilevel"/>
    <w:tmpl w:val="91DA01DE"/>
    <w:lvl w:ilvl="0" w:tplc="7340D37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21126B9F"/>
    <w:multiLevelType w:val="hybridMultilevel"/>
    <w:tmpl w:val="17740B1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2C881048"/>
    <w:multiLevelType w:val="hybridMultilevel"/>
    <w:tmpl w:val="B4F21E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364C5140"/>
    <w:multiLevelType w:val="multilevel"/>
    <w:tmpl w:val="91284B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A375F8D"/>
    <w:multiLevelType w:val="multilevel"/>
    <w:tmpl w:val="8E528C2A"/>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14C11B5"/>
    <w:multiLevelType w:val="hybridMultilevel"/>
    <w:tmpl w:val="4700203C"/>
    <w:lvl w:ilvl="0" w:tplc="C9F685B8">
      <w:start w:val="1"/>
      <w:numFmt w:val="decimal"/>
      <w:lvlText w:val="%1."/>
      <w:lvlJc w:val="left"/>
      <w:pPr>
        <w:tabs>
          <w:tab w:val="num" w:pos="1170"/>
        </w:tabs>
        <w:ind w:left="1170" w:hanging="4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8">
    <w:nsid w:val="56703BE4"/>
    <w:multiLevelType w:val="hybridMultilevel"/>
    <w:tmpl w:val="54AA74C4"/>
    <w:lvl w:ilvl="0" w:tplc="26CA827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nsid w:val="5F2C671D"/>
    <w:multiLevelType w:val="hybridMultilevel"/>
    <w:tmpl w:val="E7A8C1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FF65919"/>
    <w:multiLevelType w:val="hybridMultilevel"/>
    <w:tmpl w:val="3A927D30"/>
    <w:lvl w:ilvl="0" w:tplc="4A86505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10"/>
  </w:num>
  <w:num w:numId="7">
    <w:abstractNumId w:val="5"/>
  </w:num>
  <w:num w:numId="8">
    <w:abstractNumId w:val="1"/>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5D"/>
    <w:rsid w:val="00023654"/>
    <w:rsid w:val="000869F1"/>
    <w:rsid w:val="00092F02"/>
    <w:rsid w:val="0009587F"/>
    <w:rsid w:val="000B0B2D"/>
    <w:rsid w:val="000C04A9"/>
    <w:rsid w:val="000C31E3"/>
    <w:rsid w:val="000F37BE"/>
    <w:rsid w:val="0010206D"/>
    <w:rsid w:val="001150E2"/>
    <w:rsid w:val="00141F2A"/>
    <w:rsid w:val="00146516"/>
    <w:rsid w:val="00151043"/>
    <w:rsid w:val="0015127C"/>
    <w:rsid w:val="0015160A"/>
    <w:rsid w:val="00191213"/>
    <w:rsid w:val="001A1CEF"/>
    <w:rsid w:val="001D5B3D"/>
    <w:rsid w:val="001E56B8"/>
    <w:rsid w:val="001F4577"/>
    <w:rsid w:val="0020090F"/>
    <w:rsid w:val="0021098C"/>
    <w:rsid w:val="00235954"/>
    <w:rsid w:val="002524FB"/>
    <w:rsid w:val="00256A1B"/>
    <w:rsid w:val="002716BB"/>
    <w:rsid w:val="00272811"/>
    <w:rsid w:val="002A178D"/>
    <w:rsid w:val="002A1C45"/>
    <w:rsid w:val="002A54C7"/>
    <w:rsid w:val="002A72D5"/>
    <w:rsid w:val="003241BF"/>
    <w:rsid w:val="00342448"/>
    <w:rsid w:val="00347760"/>
    <w:rsid w:val="003766AC"/>
    <w:rsid w:val="00381801"/>
    <w:rsid w:val="00386D31"/>
    <w:rsid w:val="003A52D7"/>
    <w:rsid w:val="003D52F4"/>
    <w:rsid w:val="003D78D5"/>
    <w:rsid w:val="003E3380"/>
    <w:rsid w:val="003E6729"/>
    <w:rsid w:val="003F2614"/>
    <w:rsid w:val="00420F20"/>
    <w:rsid w:val="0042604C"/>
    <w:rsid w:val="00433754"/>
    <w:rsid w:val="0045036C"/>
    <w:rsid w:val="0045072A"/>
    <w:rsid w:val="00463D9A"/>
    <w:rsid w:val="00466995"/>
    <w:rsid w:val="004671C4"/>
    <w:rsid w:val="00487F2D"/>
    <w:rsid w:val="00492E11"/>
    <w:rsid w:val="004A327D"/>
    <w:rsid w:val="004C478A"/>
    <w:rsid w:val="004E5069"/>
    <w:rsid w:val="00506BEC"/>
    <w:rsid w:val="00553B33"/>
    <w:rsid w:val="00570800"/>
    <w:rsid w:val="00580D28"/>
    <w:rsid w:val="005D66B5"/>
    <w:rsid w:val="00600BFE"/>
    <w:rsid w:val="006208C5"/>
    <w:rsid w:val="00633DE6"/>
    <w:rsid w:val="0064289A"/>
    <w:rsid w:val="00650725"/>
    <w:rsid w:val="0065225F"/>
    <w:rsid w:val="006A530C"/>
    <w:rsid w:val="006A6B37"/>
    <w:rsid w:val="006B2C5B"/>
    <w:rsid w:val="006B4E61"/>
    <w:rsid w:val="006B6501"/>
    <w:rsid w:val="006B68BA"/>
    <w:rsid w:val="006D295B"/>
    <w:rsid w:val="006D3CFA"/>
    <w:rsid w:val="007079A4"/>
    <w:rsid w:val="00766450"/>
    <w:rsid w:val="007A650D"/>
    <w:rsid w:val="007D422C"/>
    <w:rsid w:val="00805173"/>
    <w:rsid w:val="0083447E"/>
    <w:rsid w:val="00844A32"/>
    <w:rsid w:val="00856E0D"/>
    <w:rsid w:val="00863C22"/>
    <w:rsid w:val="008A2CC0"/>
    <w:rsid w:val="008B300D"/>
    <w:rsid w:val="008C3F6F"/>
    <w:rsid w:val="008C61B6"/>
    <w:rsid w:val="008D2A86"/>
    <w:rsid w:val="008F6737"/>
    <w:rsid w:val="0091345C"/>
    <w:rsid w:val="00913B55"/>
    <w:rsid w:val="00934A45"/>
    <w:rsid w:val="00944518"/>
    <w:rsid w:val="00944749"/>
    <w:rsid w:val="00957C14"/>
    <w:rsid w:val="00971BFE"/>
    <w:rsid w:val="00977787"/>
    <w:rsid w:val="00993803"/>
    <w:rsid w:val="009C1B3C"/>
    <w:rsid w:val="009D16A3"/>
    <w:rsid w:val="009E7BE4"/>
    <w:rsid w:val="00A126C5"/>
    <w:rsid w:val="00A40108"/>
    <w:rsid w:val="00A47D1F"/>
    <w:rsid w:val="00A6305B"/>
    <w:rsid w:val="00A847C6"/>
    <w:rsid w:val="00A871A3"/>
    <w:rsid w:val="00A871CD"/>
    <w:rsid w:val="00AA63CA"/>
    <w:rsid w:val="00AB7893"/>
    <w:rsid w:val="00AE1844"/>
    <w:rsid w:val="00AF5345"/>
    <w:rsid w:val="00AF7674"/>
    <w:rsid w:val="00B170C2"/>
    <w:rsid w:val="00B22AAB"/>
    <w:rsid w:val="00B23A4F"/>
    <w:rsid w:val="00B27748"/>
    <w:rsid w:val="00B30B65"/>
    <w:rsid w:val="00B36942"/>
    <w:rsid w:val="00B4068D"/>
    <w:rsid w:val="00B5557C"/>
    <w:rsid w:val="00B80BB2"/>
    <w:rsid w:val="00B95BE5"/>
    <w:rsid w:val="00BD1225"/>
    <w:rsid w:val="00BE502E"/>
    <w:rsid w:val="00C2013B"/>
    <w:rsid w:val="00C2157F"/>
    <w:rsid w:val="00C62695"/>
    <w:rsid w:val="00C93910"/>
    <w:rsid w:val="00CB1941"/>
    <w:rsid w:val="00CC44F2"/>
    <w:rsid w:val="00CD74BC"/>
    <w:rsid w:val="00CF6D6A"/>
    <w:rsid w:val="00D12677"/>
    <w:rsid w:val="00D15748"/>
    <w:rsid w:val="00D42935"/>
    <w:rsid w:val="00D91D1A"/>
    <w:rsid w:val="00DA30C3"/>
    <w:rsid w:val="00DB0068"/>
    <w:rsid w:val="00DB4A36"/>
    <w:rsid w:val="00DB6C6C"/>
    <w:rsid w:val="00DD7888"/>
    <w:rsid w:val="00DE160A"/>
    <w:rsid w:val="00DE22AD"/>
    <w:rsid w:val="00DE26B3"/>
    <w:rsid w:val="00DE71B3"/>
    <w:rsid w:val="00DF3B79"/>
    <w:rsid w:val="00E0125D"/>
    <w:rsid w:val="00E33CFC"/>
    <w:rsid w:val="00E346B2"/>
    <w:rsid w:val="00E460B0"/>
    <w:rsid w:val="00E63A48"/>
    <w:rsid w:val="00E77527"/>
    <w:rsid w:val="00EC077A"/>
    <w:rsid w:val="00EC72D2"/>
    <w:rsid w:val="00ED4FCB"/>
    <w:rsid w:val="00EE2B28"/>
    <w:rsid w:val="00EE6D6E"/>
    <w:rsid w:val="00EF3E7B"/>
    <w:rsid w:val="00F60215"/>
    <w:rsid w:val="00F608F7"/>
    <w:rsid w:val="00FB4200"/>
    <w:rsid w:val="00FF2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34"/>
    <w:qFormat/>
    <w:rsid w:val="00023654"/>
    <w:pPr>
      <w:ind w:left="720"/>
      <w:contextualSpacing/>
    </w:pPr>
  </w:style>
  <w:style w:type="paragraph" w:styleId="BalloonText">
    <w:name w:val="Balloon Text"/>
    <w:basedOn w:val="Normal"/>
    <w:link w:val="BalloonTextChar"/>
    <w:uiPriority w:val="99"/>
    <w:semiHidden/>
    <w:unhideWhenUsed/>
    <w:rsid w:val="00151043"/>
    <w:rPr>
      <w:rFonts w:ascii="Tahoma" w:hAnsi="Tahoma" w:cs="Tahoma"/>
      <w:sz w:val="16"/>
      <w:szCs w:val="16"/>
    </w:rPr>
  </w:style>
  <w:style w:type="character" w:customStyle="1" w:styleId="BalloonTextChar">
    <w:name w:val="Balloon Text Char"/>
    <w:basedOn w:val="DefaultParagraphFont"/>
    <w:link w:val="BalloonText"/>
    <w:uiPriority w:val="99"/>
    <w:semiHidden/>
    <w:rsid w:val="00151043"/>
    <w:rPr>
      <w:rFonts w:ascii="Tahoma" w:eastAsia="Times New Roman" w:hAnsi="Tahoma" w:cs="Tahoma"/>
      <w:sz w:val="16"/>
      <w:szCs w:val="16"/>
    </w:rPr>
  </w:style>
  <w:style w:type="table" w:styleId="TableGrid">
    <w:name w:val="Table Grid"/>
    <w:basedOn w:val="TableNormal"/>
    <w:uiPriority w:val="59"/>
    <w:rsid w:val="00C20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 Justified"/>
    <w:basedOn w:val="Normal"/>
    <w:rsid w:val="002A178D"/>
    <w:pPr>
      <w:jc w:val="both"/>
    </w:pPr>
    <w:rPr>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34"/>
    <w:qFormat/>
    <w:rsid w:val="00023654"/>
    <w:pPr>
      <w:ind w:left="720"/>
      <w:contextualSpacing/>
    </w:pPr>
  </w:style>
  <w:style w:type="paragraph" w:styleId="BalloonText">
    <w:name w:val="Balloon Text"/>
    <w:basedOn w:val="Normal"/>
    <w:link w:val="BalloonTextChar"/>
    <w:uiPriority w:val="99"/>
    <w:semiHidden/>
    <w:unhideWhenUsed/>
    <w:rsid w:val="00151043"/>
    <w:rPr>
      <w:rFonts w:ascii="Tahoma" w:hAnsi="Tahoma" w:cs="Tahoma"/>
      <w:sz w:val="16"/>
      <w:szCs w:val="16"/>
    </w:rPr>
  </w:style>
  <w:style w:type="character" w:customStyle="1" w:styleId="BalloonTextChar">
    <w:name w:val="Balloon Text Char"/>
    <w:basedOn w:val="DefaultParagraphFont"/>
    <w:link w:val="BalloonText"/>
    <w:uiPriority w:val="99"/>
    <w:semiHidden/>
    <w:rsid w:val="00151043"/>
    <w:rPr>
      <w:rFonts w:ascii="Tahoma" w:eastAsia="Times New Roman" w:hAnsi="Tahoma" w:cs="Tahoma"/>
      <w:sz w:val="16"/>
      <w:szCs w:val="16"/>
    </w:rPr>
  </w:style>
  <w:style w:type="table" w:styleId="TableGrid">
    <w:name w:val="Table Grid"/>
    <w:basedOn w:val="TableNormal"/>
    <w:uiPriority w:val="59"/>
    <w:rsid w:val="00C20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 Justified"/>
    <w:basedOn w:val="Normal"/>
    <w:rsid w:val="002A178D"/>
    <w:pPr>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Pages>
  <Words>8364</Words>
  <Characters>4769</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106</cp:revision>
  <cp:lastPrinted>2016-08-10T09:23:00Z</cp:lastPrinted>
  <dcterms:created xsi:type="dcterms:W3CDTF">2015-03-19T13:27:00Z</dcterms:created>
  <dcterms:modified xsi:type="dcterms:W3CDTF">2017-11-10T11:57:00Z</dcterms:modified>
</cp:coreProperties>
</file>