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811" w:rsidRDefault="00272811" w:rsidP="00B81490">
      <w:pPr>
        <w:shd w:val="clear" w:color="auto" w:fill="D6E3BC" w:themeFill="accent3" w:themeFillTint="66"/>
        <w:jc w:val="center"/>
        <w:rPr>
          <w:b/>
        </w:rPr>
      </w:pPr>
      <w:r>
        <w:rPr>
          <w:b/>
        </w:rPr>
        <w:t>Ādažu novada domes</w:t>
      </w:r>
    </w:p>
    <w:p w:rsidR="00272811" w:rsidRDefault="00272811" w:rsidP="00B81490">
      <w:pPr>
        <w:shd w:val="clear" w:color="auto" w:fill="D6E3BC" w:themeFill="accent3" w:themeFillTint="66"/>
        <w:jc w:val="center"/>
        <w:rPr>
          <w:b/>
        </w:rPr>
      </w:pPr>
      <w:r>
        <w:rPr>
          <w:b/>
        </w:rPr>
        <w:t>iepirkuma</w:t>
      </w:r>
    </w:p>
    <w:p w:rsidR="00272811" w:rsidRDefault="00272811" w:rsidP="00B81490">
      <w:pPr>
        <w:shd w:val="clear" w:color="auto" w:fill="D6E3BC" w:themeFill="accent3" w:themeFillTint="66"/>
        <w:jc w:val="center"/>
        <w:rPr>
          <w:b/>
          <w:sz w:val="8"/>
          <w:szCs w:val="8"/>
        </w:rPr>
      </w:pPr>
    </w:p>
    <w:p w:rsidR="00272811" w:rsidRDefault="007F11C8" w:rsidP="00B81490">
      <w:pPr>
        <w:shd w:val="clear" w:color="auto" w:fill="D6E3BC" w:themeFill="accent3" w:themeFillTint="66"/>
        <w:jc w:val="center"/>
        <w:rPr>
          <w:b/>
          <w:sz w:val="28"/>
          <w:szCs w:val="28"/>
        </w:rPr>
      </w:pPr>
      <w:r>
        <w:rPr>
          <w:b/>
          <w:caps/>
          <w:sz w:val="32"/>
          <w:szCs w:val="32"/>
        </w:rPr>
        <w:t>„GAUJAS IELAS a Ādažos PĀRBŪVES BŪVPROJEKTA IZSTRĀDE UN BŪVDARBI</w:t>
      </w:r>
      <w:r w:rsidR="00272811">
        <w:rPr>
          <w:b/>
          <w:sz w:val="28"/>
          <w:szCs w:val="28"/>
        </w:rPr>
        <w:t>”</w:t>
      </w:r>
    </w:p>
    <w:p w:rsidR="00272811" w:rsidRDefault="006C2C11" w:rsidP="00B81490">
      <w:pPr>
        <w:shd w:val="clear" w:color="auto" w:fill="D6E3BC" w:themeFill="accent3" w:themeFillTint="66"/>
        <w:jc w:val="center"/>
        <w:rPr>
          <w:b/>
          <w:sz w:val="28"/>
          <w:szCs w:val="28"/>
        </w:rPr>
      </w:pPr>
      <w:r>
        <w:rPr>
          <w:b/>
          <w:sz w:val="28"/>
          <w:szCs w:val="28"/>
        </w:rPr>
        <w:t>(ID.Nr. ĀND 2016/</w:t>
      </w:r>
      <w:r w:rsidR="007F11C8">
        <w:rPr>
          <w:b/>
          <w:sz w:val="28"/>
          <w:szCs w:val="28"/>
        </w:rPr>
        <w:t>93</w:t>
      </w:r>
      <w:r w:rsidR="00272811">
        <w:rPr>
          <w:b/>
          <w:sz w:val="28"/>
          <w:szCs w:val="28"/>
        </w:rPr>
        <w:t>)</w:t>
      </w:r>
    </w:p>
    <w:p w:rsidR="00272811" w:rsidRDefault="00272811" w:rsidP="00272811">
      <w:pPr>
        <w:jc w:val="center"/>
        <w:rPr>
          <w:sz w:val="8"/>
          <w:szCs w:val="8"/>
        </w:rPr>
      </w:pPr>
    </w:p>
    <w:p w:rsidR="00272811" w:rsidRDefault="00272811" w:rsidP="00272811">
      <w:pPr>
        <w:jc w:val="center"/>
        <w:rPr>
          <w:sz w:val="8"/>
          <w:szCs w:val="8"/>
        </w:rPr>
      </w:pPr>
    </w:p>
    <w:p w:rsidR="00272811" w:rsidRDefault="00272811" w:rsidP="00272811">
      <w:pPr>
        <w:jc w:val="center"/>
      </w:pPr>
      <w:r>
        <w:t>iepirkuma komisijas sēdes</w:t>
      </w:r>
    </w:p>
    <w:p w:rsidR="00272811" w:rsidRDefault="00272811" w:rsidP="00272811">
      <w:pPr>
        <w:rPr>
          <w:sz w:val="8"/>
          <w:szCs w:val="8"/>
        </w:rPr>
      </w:pPr>
    </w:p>
    <w:p w:rsidR="00272811" w:rsidRDefault="00272811" w:rsidP="00272811">
      <w:pPr>
        <w:pStyle w:val="Heading1"/>
        <w:rPr>
          <w:b/>
          <w:bCs/>
          <w:sz w:val="24"/>
        </w:rPr>
      </w:pPr>
      <w:r>
        <w:rPr>
          <w:b/>
          <w:bCs/>
          <w:sz w:val="24"/>
        </w:rPr>
        <w:t>PROTOKOLS</w:t>
      </w:r>
      <w:r w:rsidR="006C2C11">
        <w:rPr>
          <w:b/>
        </w:rPr>
        <w:t xml:space="preserve"> Nr.05-30-2016/</w:t>
      </w:r>
      <w:r w:rsidR="007F11C8">
        <w:rPr>
          <w:b/>
        </w:rPr>
        <w:t>93</w:t>
      </w:r>
      <w:r w:rsidR="006B2C5B">
        <w:rPr>
          <w:b/>
        </w:rPr>
        <w:t>-</w:t>
      </w:r>
      <w:r w:rsidR="006852D4">
        <w:rPr>
          <w:b/>
        </w:rPr>
        <w:t>2</w:t>
      </w:r>
    </w:p>
    <w:p w:rsidR="00272811" w:rsidRDefault="00272811" w:rsidP="00272811"/>
    <w:tbl>
      <w:tblPr>
        <w:tblW w:w="9322" w:type="dxa"/>
        <w:tblLook w:val="01E0" w:firstRow="1" w:lastRow="1" w:firstColumn="1" w:lastColumn="1" w:noHBand="0" w:noVBand="0"/>
      </w:tblPr>
      <w:tblGrid>
        <w:gridCol w:w="4261"/>
        <w:gridCol w:w="5061"/>
      </w:tblGrid>
      <w:tr w:rsidR="00272811" w:rsidTr="00272811">
        <w:tc>
          <w:tcPr>
            <w:tcW w:w="4261" w:type="dxa"/>
            <w:hideMark/>
          </w:tcPr>
          <w:p w:rsidR="00272811" w:rsidRDefault="00272811">
            <w:r>
              <w:t>Ādažos</w:t>
            </w:r>
          </w:p>
        </w:tc>
        <w:tc>
          <w:tcPr>
            <w:tcW w:w="5061" w:type="dxa"/>
            <w:hideMark/>
          </w:tcPr>
          <w:p w:rsidR="00272811" w:rsidRDefault="004F6114" w:rsidP="00956358">
            <w:pPr>
              <w:jc w:val="center"/>
            </w:pPr>
            <w:r>
              <w:rPr>
                <w:b/>
              </w:rPr>
              <w:t xml:space="preserve">                  </w:t>
            </w:r>
            <w:r w:rsidR="006208C5">
              <w:rPr>
                <w:b/>
              </w:rPr>
              <w:t>2016</w:t>
            </w:r>
            <w:r w:rsidR="002716BB">
              <w:rPr>
                <w:b/>
              </w:rPr>
              <w:t xml:space="preserve">. gada </w:t>
            </w:r>
            <w:r w:rsidR="00956358">
              <w:rPr>
                <w:b/>
              </w:rPr>
              <w:t>31</w:t>
            </w:r>
            <w:r w:rsidR="007F11C8">
              <w:rPr>
                <w:b/>
              </w:rPr>
              <w:t>.maijā</w:t>
            </w:r>
          </w:p>
        </w:tc>
      </w:tr>
    </w:tbl>
    <w:p w:rsidR="00272811" w:rsidRDefault="00272811" w:rsidP="00272811">
      <w:pPr>
        <w:pStyle w:val="Heading2"/>
        <w:rPr>
          <w:sz w:val="24"/>
        </w:rPr>
      </w:pPr>
      <w:r>
        <w:rPr>
          <w:b/>
          <w:bCs/>
          <w:sz w:val="24"/>
        </w:rPr>
        <w:t>Sēde sākās:</w:t>
      </w:r>
      <w:r>
        <w:rPr>
          <w:sz w:val="24"/>
        </w:rPr>
        <w:t xml:space="preserve"> </w:t>
      </w:r>
    </w:p>
    <w:p w:rsidR="00272811" w:rsidRDefault="00272811" w:rsidP="00272811">
      <w:pPr>
        <w:pStyle w:val="Heading2"/>
        <w:ind w:firstLine="720"/>
        <w:rPr>
          <w:sz w:val="24"/>
        </w:rPr>
      </w:pPr>
      <w:r>
        <w:rPr>
          <w:sz w:val="24"/>
        </w:rPr>
        <w:t>Komisijas priekšsēdētājs atklāj sēdi</w:t>
      </w:r>
      <w:r w:rsidR="00E15504">
        <w:rPr>
          <w:sz w:val="24"/>
        </w:rPr>
        <w:t xml:space="preserve"> plkst. 10</w:t>
      </w:r>
      <w:r>
        <w:rPr>
          <w:sz w:val="24"/>
        </w:rPr>
        <w:t>.00.</w:t>
      </w:r>
    </w:p>
    <w:p w:rsidR="00272811" w:rsidRDefault="00272811" w:rsidP="00272811">
      <w:pPr>
        <w:jc w:val="both"/>
        <w:rPr>
          <w:b/>
          <w:bCs/>
        </w:rPr>
      </w:pPr>
      <w:r>
        <w:rPr>
          <w:b/>
          <w:bCs/>
        </w:rPr>
        <w:t>Sēdē piedalās:</w:t>
      </w:r>
    </w:p>
    <w:tbl>
      <w:tblPr>
        <w:tblW w:w="0" w:type="auto"/>
        <w:tblInd w:w="648" w:type="dxa"/>
        <w:tblLook w:val="01E0" w:firstRow="1" w:lastRow="1" w:firstColumn="1" w:lastColumn="1" w:noHBand="0" w:noVBand="0"/>
      </w:tblPr>
      <w:tblGrid>
        <w:gridCol w:w="3060"/>
        <w:gridCol w:w="4680"/>
      </w:tblGrid>
      <w:tr w:rsidR="00272811" w:rsidTr="00272811">
        <w:tc>
          <w:tcPr>
            <w:tcW w:w="3060" w:type="dxa"/>
          </w:tcPr>
          <w:p w:rsidR="00272811" w:rsidRDefault="00272811">
            <w:pPr>
              <w:ind w:left="72" w:right="-694"/>
              <w:jc w:val="both"/>
            </w:pPr>
            <w:r>
              <w:t xml:space="preserve">Komisijas priekšsēdētājs: </w:t>
            </w:r>
          </w:p>
          <w:p w:rsidR="00272811" w:rsidRDefault="00272811">
            <w:pPr>
              <w:ind w:left="72" w:right="-694"/>
              <w:jc w:val="both"/>
            </w:pPr>
            <w:r>
              <w:t>Komisijas locekļi:</w:t>
            </w:r>
          </w:p>
          <w:p w:rsidR="00272811" w:rsidRDefault="00272811">
            <w:pPr>
              <w:ind w:left="72" w:right="-694"/>
              <w:jc w:val="both"/>
            </w:pPr>
          </w:p>
          <w:p w:rsidR="00272811" w:rsidRDefault="00272811">
            <w:pPr>
              <w:ind w:left="72" w:right="-694"/>
              <w:jc w:val="both"/>
            </w:pPr>
          </w:p>
          <w:p w:rsidR="00272811" w:rsidRDefault="00272811">
            <w:pPr>
              <w:ind w:left="72" w:right="-694"/>
              <w:jc w:val="both"/>
            </w:pPr>
          </w:p>
        </w:tc>
        <w:tc>
          <w:tcPr>
            <w:tcW w:w="4680" w:type="dxa"/>
            <w:hideMark/>
          </w:tcPr>
          <w:p w:rsidR="006B68BA" w:rsidRDefault="00272811" w:rsidP="00C93910">
            <w:pPr>
              <w:ind w:right="-694"/>
              <w:jc w:val="both"/>
            </w:pPr>
            <w:r>
              <w:t>Artis Brūvers</w:t>
            </w:r>
          </w:p>
          <w:p w:rsidR="00E33CFC" w:rsidRDefault="00E33CFC">
            <w:pPr>
              <w:jc w:val="both"/>
            </w:pPr>
            <w:r>
              <w:t>Rita Šteina</w:t>
            </w:r>
          </w:p>
          <w:p w:rsidR="005D66B5" w:rsidRDefault="005D66B5">
            <w:pPr>
              <w:jc w:val="both"/>
            </w:pPr>
            <w:r>
              <w:t>Halfors Krasts</w:t>
            </w:r>
          </w:p>
          <w:p w:rsidR="00BE502E" w:rsidRDefault="00BE502E">
            <w:pPr>
              <w:jc w:val="both"/>
            </w:pPr>
            <w:r>
              <w:t>Uģis Dambis</w:t>
            </w:r>
          </w:p>
          <w:p w:rsidR="00E33CFC" w:rsidRDefault="00E33CFC">
            <w:pPr>
              <w:jc w:val="both"/>
            </w:pPr>
            <w:r>
              <w:t>Valērijs Bulāns</w:t>
            </w:r>
          </w:p>
          <w:p w:rsidR="00272811" w:rsidRDefault="009A1D8F" w:rsidP="00C93910">
            <w:pPr>
              <w:jc w:val="both"/>
            </w:pPr>
            <w:r>
              <w:t>Everita Kāpa</w:t>
            </w:r>
          </w:p>
        </w:tc>
      </w:tr>
    </w:tbl>
    <w:p w:rsidR="00272811" w:rsidRDefault="00272811" w:rsidP="00272811">
      <w:pPr>
        <w:rPr>
          <w:b/>
        </w:rPr>
      </w:pPr>
      <w:r>
        <w:rPr>
          <w:b/>
        </w:rPr>
        <w:t xml:space="preserve">Komisijas izveides pamats: </w:t>
      </w:r>
    </w:p>
    <w:p w:rsidR="00272811" w:rsidRDefault="00272811" w:rsidP="00BF4D19">
      <w:pPr>
        <w:ind w:left="567" w:right="26"/>
        <w:jc w:val="both"/>
        <w:rPr>
          <w:color w:val="FF0000"/>
        </w:rPr>
      </w:pPr>
      <w:r>
        <w:t xml:space="preserve">Ādažu novada domes 2013.gada 24.septembra </w:t>
      </w:r>
      <w:smartTag w:uri="schemas-tilde-lv/tildestengine" w:element="veidnes">
        <w:smartTagPr>
          <w:attr w:name="text" w:val="lēmums"/>
          <w:attr w:name="baseform" w:val="lēmums"/>
          <w:attr w:name="id" w:val="-1"/>
        </w:smartTagPr>
        <w:r>
          <w:t>lēmums</w:t>
        </w:r>
      </w:smartTag>
      <w:r w:rsidR="000641DF">
        <w:t xml:space="preserve"> Nr. 215</w:t>
      </w:r>
      <w:r>
        <w:t xml:space="preserve"> un Ādažu novada domes 2014.gada 28.jūlija ārkārtas domes sēdes lēmums Nr. 17§ 2.</w:t>
      </w:r>
    </w:p>
    <w:p w:rsidR="00272811" w:rsidRDefault="00272811" w:rsidP="00272811">
      <w:pPr>
        <w:jc w:val="both"/>
      </w:pPr>
      <w:r>
        <w:rPr>
          <w:b/>
          <w:bCs/>
        </w:rPr>
        <w:t>Darba kārtībā:</w:t>
      </w:r>
    </w:p>
    <w:p w:rsidR="00272811" w:rsidRDefault="00BF4D19" w:rsidP="00BF4D19">
      <w:pPr>
        <w:tabs>
          <w:tab w:val="left" w:pos="993"/>
        </w:tabs>
        <w:ind w:left="567"/>
        <w:jc w:val="both"/>
        <w:rPr>
          <w:b/>
        </w:rPr>
      </w:pPr>
      <w:r>
        <w:t>Skaidrojumu sniegšana par i</w:t>
      </w:r>
      <w:r w:rsidR="00272811">
        <w:t xml:space="preserve">epirkuma </w:t>
      </w:r>
      <w:r w:rsidR="00272811" w:rsidRPr="00E77527">
        <w:t>„</w:t>
      </w:r>
      <w:r w:rsidR="007F11C8" w:rsidRPr="007F11C8">
        <w:rPr>
          <w:caps/>
        </w:rPr>
        <w:t>GAUJAS IELAS a Ādažos PĀRBŪVES BŪVPROJEKTA IZSTRĀDE UN BŪVDARBI</w:t>
      </w:r>
      <w:r w:rsidR="006B68BA" w:rsidRPr="00E77527">
        <w:t>”</w:t>
      </w:r>
      <w:r w:rsidR="00E77527">
        <w:t xml:space="preserve"> </w:t>
      </w:r>
      <w:r w:rsidR="006208C5">
        <w:t>(ID.Nr.: ĀND 2016</w:t>
      </w:r>
      <w:r w:rsidR="006B68BA">
        <w:t>/</w:t>
      </w:r>
      <w:r w:rsidR="007F11C8">
        <w:t>93</w:t>
      </w:r>
      <w:r w:rsidR="00272811">
        <w:t xml:space="preserve">) </w:t>
      </w:r>
      <w:r>
        <w:t>nolikumu</w:t>
      </w:r>
      <w:r w:rsidR="00272811">
        <w:t>.</w:t>
      </w:r>
    </w:p>
    <w:p w:rsidR="00272811" w:rsidRDefault="00272811" w:rsidP="00272811">
      <w:pPr>
        <w:jc w:val="both"/>
        <w:rPr>
          <w:b/>
        </w:rPr>
      </w:pPr>
      <w:r>
        <w:rPr>
          <w:b/>
        </w:rPr>
        <w:t>Darba gaita:</w:t>
      </w:r>
    </w:p>
    <w:p w:rsidR="000641DF" w:rsidRDefault="00E33CFC" w:rsidP="00BF4D19">
      <w:pPr>
        <w:pStyle w:val="ListParagraph"/>
        <w:numPr>
          <w:ilvl w:val="0"/>
          <w:numId w:val="3"/>
        </w:numPr>
        <w:ind w:left="567" w:hanging="567"/>
        <w:jc w:val="both"/>
      </w:pPr>
      <w:r>
        <w:t>R. Šteina</w:t>
      </w:r>
      <w:r w:rsidR="00272811">
        <w:t xml:space="preserve"> </w:t>
      </w:r>
      <w:r w:rsidR="000641DF">
        <w:t xml:space="preserve">ziņo par ieinteresēto pretendentu sagatavotajiem jautājumiem par </w:t>
      </w:r>
      <w:r w:rsidR="00272811">
        <w:t xml:space="preserve">iepirkuma </w:t>
      </w:r>
      <w:r w:rsidR="00C9257E" w:rsidRPr="00E77527">
        <w:t>„</w:t>
      </w:r>
      <w:r w:rsidR="00956358" w:rsidRPr="007F11C8">
        <w:rPr>
          <w:caps/>
        </w:rPr>
        <w:t>GAUJAS IELAS a Ādažos PĀRBŪVES BŪVPROJEKTA IZSTRĀDE UN BŪVDARBI</w:t>
      </w:r>
      <w:r w:rsidR="00956358" w:rsidRPr="00E77527">
        <w:t>”</w:t>
      </w:r>
      <w:r w:rsidR="00956358">
        <w:t xml:space="preserve"> (ID.Nr.: ĀND 2016/93)</w:t>
      </w:r>
      <w:r w:rsidR="00863C22">
        <w:t xml:space="preserve"> </w:t>
      </w:r>
      <w:r w:rsidR="00272811">
        <w:t>nolikum</w:t>
      </w:r>
      <w:r w:rsidR="000641DF">
        <w:t>u.</w:t>
      </w:r>
    </w:p>
    <w:p w:rsidR="00272811" w:rsidRDefault="000641DF" w:rsidP="00BF4D19">
      <w:pPr>
        <w:pStyle w:val="ListParagraph"/>
        <w:numPr>
          <w:ilvl w:val="0"/>
          <w:numId w:val="3"/>
        </w:numPr>
        <w:ind w:left="567" w:hanging="567"/>
        <w:jc w:val="both"/>
      </w:pPr>
      <w:r>
        <w:t>Komisija iepazīstas ar uzdotajiem jautājumiem un lemj par sniedzamajām atbildēm</w:t>
      </w:r>
      <w:r w:rsidR="00272811">
        <w:t>.</w:t>
      </w:r>
    </w:p>
    <w:p w:rsidR="000641DF" w:rsidRDefault="000641DF" w:rsidP="00BF4D19">
      <w:pPr>
        <w:pStyle w:val="ListParagraph"/>
        <w:numPr>
          <w:ilvl w:val="0"/>
          <w:numId w:val="3"/>
        </w:numPr>
        <w:ind w:left="567" w:hanging="567"/>
        <w:jc w:val="both"/>
      </w:pPr>
      <w:r>
        <w:t>Komisija lemj apstiprināt šādas atbildes:</w:t>
      </w:r>
    </w:p>
    <w:tbl>
      <w:tblPr>
        <w:tblStyle w:val="TableGrid"/>
        <w:tblW w:w="10190" w:type="dxa"/>
        <w:jc w:val="center"/>
        <w:tblInd w:w="374" w:type="dxa"/>
        <w:tblLook w:val="04A0" w:firstRow="1" w:lastRow="0" w:firstColumn="1" w:lastColumn="0" w:noHBand="0" w:noVBand="1"/>
      </w:tblPr>
      <w:tblGrid>
        <w:gridCol w:w="508"/>
        <w:gridCol w:w="5112"/>
        <w:gridCol w:w="4570"/>
      </w:tblGrid>
      <w:tr w:rsidR="00EB6AD7" w:rsidRPr="00557FC7" w:rsidTr="007742B7">
        <w:trPr>
          <w:jc w:val="center"/>
        </w:trPr>
        <w:tc>
          <w:tcPr>
            <w:tcW w:w="508" w:type="dxa"/>
            <w:shd w:val="clear" w:color="auto" w:fill="92D050"/>
          </w:tcPr>
          <w:p w:rsidR="00EB6AD7" w:rsidRPr="007742B7" w:rsidRDefault="00EB6AD7" w:rsidP="007742B7">
            <w:pPr>
              <w:jc w:val="both"/>
              <w:rPr>
                <w:b/>
              </w:rPr>
            </w:pPr>
          </w:p>
        </w:tc>
        <w:tc>
          <w:tcPr>
            <w:tcW w:w="5112" w:type="dxa"/>
            <w:shd w:val="clear" w:color="auto" w:fill="92D050"/>
          </w:tcPr>
          <w:p w:rsidR="00EB6AD7" w:rsidRPr="00567FEA" w:rsidRDefault="00EB6AD7" w:rsidP="004634CD">
            <w:pPr>
              <w:jc w:val="center"/>
              <w:rPr>
                <w:b/>
              </w:rPr>
            </w:pPr>
            <w:r w:rsidRPr="00567FEA">
              <w:rPr>
                <w:b/>
              </w:rPr>
              <w:t>Jautājums</w:t>
            </w:r>
          </w:p>
        </w:tc>
        <w:tc>
          <w:tcPr>
            <w:tcW w:w="4570" w:type="dxa"/>
            <w:shd w:val="clear" w:color="auto" w:fill="92D050"/>
          </w:tcPr>
          <w:p w:rsidR="00EB6AD7" w:rsidRPr="00567FEA" w:rsidRDefault="00EB6AD7" w:rsidP="004634CD">
            <w:pPr>
              <w:jc w:val="center"/>
              <w:rPr>
                <w:b/>
              </w:rPr>
            </w:pPr>
            <w:r w:rsidRPr="00567FEA">
              <w:rPr>
                <w:b/>
              </w:rPr>
              <w:t>Atbilde</w:t>
            </w:r>
          </w:p>
        </w:tc>
      </w:tr>
      <w:tr w:rsidR="00EB6AD7" w:rsidTr="007742B7">
        <w:trPr>
          <w:jc w:val="center"/>
        </w:trPr>
        <w:tc>
          <w:tcPr>
            <w:tcW w:w="508" w:type="dxa"/>
          </w:tcPr>
          <w:p w:rsidR="00EB6AD7" w:rsidRPr="00D23B0A" w:rsidRDefault="00EB6AD7" w:rsidP="00D23B0A">
            <w:pPr>
              <w:pStyle w:val="ListParagraph"/>
              <w:numPr>
                <w:ilvl w:val="0"/>
                <w:numId w:val="12"/>
              </w:numPr>
              <w:spacing w:after="200" w:line="276" w:lineRule="auto"/>
              <w:ind w:left="0" w:firstLine="0"/>
              <w:jc w:val="both"/>
              <w:rPr>
                <w:color w:val="262626" w:themeColor="text1" w:themeTint="D9"/>
              </w:rPr>
            </w:pPr>
          </w:p>
        </w:tc>
        <w:tc>
          <w:tcPr>
            <w:tcW w:w="5112" w:type="dxa"/>
          </w:tcPr>
          <w:p w:rsidR="00AC573F" w:rsidRPr="00AC573F" w:rsidRDefault="00AC573F" w:rsidP="00AC573F">
            <w:pPr>
              <w:pStyle w:val="Style8"/>
              <w:widowControl/>
              <w:spacing w:line="240" w:lineRule="auto"/>
              <w:rPr>
                <w:rStyle w:val="FontStyle18"/>
                <w:i w:val="0"/>
                <w:sz w:val="24"/>
                <w:szCs w:val="24"/>
              </w:rPr>
            </w:pPr>
            <w:r w:rsidRPr="00AC573F">
              <w:rPr>
                <w:rStyle w:val="FontStyle16"/>
                <w:sz w:val="24"/>
                <w:szCs w:val="24"/>
              </w:rPr>
              <w:t xml:space="preserve">Nolikuma punkts Nr. 3.4.1. paredz, ka Pretendentam iepriekšējo 5 (piecu) kalendāro gadu laikā ir jābūt pieredzei kā galvenajam būvdarbu veicējam vismaz 3 (trīs) </w:t>
            </w:r>
            <w:r w:rsidRPr="00AC573F">
              <w:rPr>
                <w:rStyle w:val="FontStyle16"/>
                <w:sz w:val="24"/>
                <w:szCs w:val="24"/>
                <w:u w:val="single"/>
              </w:rPr>
              <w:t>II grupas vai III grupas inženierbūvju pārbūves vai izbūves būvdarbu līgumu izpildi</w:t>
            </w:r>
            <w:r w:rsidRPr="00AC573F">
              <w:rPr>
                <w:rStyle w:val="FontStyle16"/>
                <w:sz w:val="24"/>
                <w:szCs w:val="24"/>
              </w:rPr>
              <w:t>, kur katra līguma ietvaros veikta apakšzemes inženierkomunikāciju pārbūve vai izbūve un ielas ar cieto segumu pārbūve vai izbūve vismaz 5000m</w:t>
            </w:r>
            <w:r w:rsidRPr="00AC573F">
              <w:rPr>
                <w:rStyle w:val="FontStyle16"/>
                <w:sz w:val="24"/>
                <w:szCs w:val="24"/>
                <w:vertAlign w:val="superscript"/>
              </w:rPr>
              <w:t>2</w:t>
            </w:r>
            <w:r w:rsidRPr="00AC573F">
              <w:rPr>
                <w:rStyle w:val="FontStyle16"/>
                <w:sz w:val="24"/>
                <w:szCs w:val="24"/>
              </w:rPr>
              <w:t xml:space="preserve"> apmērā; ielas garums ir ne mazāks kā 650m; vismaz 1 (viens) līgums </w:t>
            </w:r>
            <w:r w:rsidRPr="00AC573F">
              <w:rPr>
                <w:rStyle w:val="FontStyle16"/>
                <w:sz w:val="24"/>
                <w:szCs w:val="24"/>
                <w:u w:val="single"/>
              </w:rPr>
              <w:t>ietver apvienoto projektēšanas un būvdarbu izpildi</w:t>
            </w:r>
            <w:r w:rsidRPr="00AC573F">
              <w:rPr>
                <w:rStyle w:val="FontStyle16"/>
                <w:sz w:val="24"/>
                <w:szCs w:val="24"/>
              </w:rPr>
              <w:t xml:space="preserve"> un tā būvdarbu līguma izmaksas ir ne mazākas kā 2'000'000,- EUR (divi miljoni </w:t>
            </w:r>
            <w:r w:rsidRPr="00AC573F">
              <w:rPr>
                <w:rStyle w:val="FontStyle18"/>
                <w:i w:val="0"/>
                <w:sz w:val="24"/>
                <w:szCs w:val="24"/>
              </w:rPr>
              <w:t>euro).</w:t>
            </w:r>
          </w:p>
          <w:p w:rsidR="00EB6AD7" w:rsidRPr="00AC573F" w:rsidRDefault="00AC573F" w:rsidP="00AC573F">
            <w:pPr>
              <w:pStyle w:val="Style8"/>
              <w:widowControl/>
              <w:spacing w:line="240" w:lineRule="auto"/>
              <w:rPr>
                <w:rFonts w:ascii="Times New Roman" w:hAnsi="Times New Roman" w:cs="Times New Roman"/>
              </w:rPr>
            </w:pPr>
            <w:r w:rsidRPr="00AC573F">
              <w:rPr>
                <w:rStyle w:val="FontStyle18"/>
                <w:i w:val="0"/>
                <w:sz w:val="24"/>
                <w:szCs w:val="24"/>
              </w:rPr>
              <w:t xml:space="preserve"> Vai Pasūtītājs ir veicis tirgus izpēti, cik no tirgus dalībniekiem ir pieredze tāda veida objektā, kas </w:t>
            </w:r>
            <w:r w:rsidRPr="00AC573F">
              <w:rPr>
                <w:rStyle w:val="FontStyle17"/>
                <w:sz w:val="24"/>
                <w:szCs w:val="24"/>
                <w:u w:val="single"/>
              </w:rPr>
              <w:t>vienlaicīgi</w:t>
            </w:r>
            <w:r w:rsidRPr="00AC573F">
              <w:rPr>
                <w:rStyle w:val="FontStyle17"/>
                <w:sz w:val="24"/>
                <w:szCs w:val="24"/>
              </w:rPr>
              <w:t xml:space="preserve"> </w:t>
            </w:r>
            <w:r w:rsidRPr="00AC573F">
              <w:rPr>
                <w:rStyle w:val="FontStyle18"/>
                <w:i w:val="0"/>
                <w:sz w:val="24"/>
                <w:szCs w:val="24"/>
              </w:rPr>
              <w:t xml:space="preserve">izpilda augstāk minētās prasības par kopējo </w:t>
            </w:r>
            <w:r w:rsidRPr="00AC573F">
              <w:rPr>
                <w:rStyle w:val="FontStyle18"/>
                <w:i w:val="0"/>
                <w:sz w:val="24"/>
                <w:szCs w:val="24"/>
              </w:rPr>
              <w:lastRenderedPageBreak/>
              <w:t>summu: 2'000'000,-EUR. Kā arī, vai ar šādām prasībām netiek mākslīgi ierobežota piegādātāju konkurence? Iepirkumu Uzraudzības Biroja mājas lapas publiskajā datu bāzē nav atrodams neviens atbilstošs Objekts, kas vienlaicīgi ietvertu prasītos kritērijus. Pie tam, ievērojot Publisko iepirkumu likuma 56.panta septītās daļas nosacījumus, šī prasība jāizpilda vismaz diviem pretendentiem</w:t>
            </w:r>
          </w:p>
        </w:tc>
        <w:tc>
          <w:tcPr>
            <w:tcW w:w="4570" w:type="dxa"/>
            <w:shd w:val="clear" w:color="auto" w:fill="D6E3BC" w:themeFill="accent3" w:themeFillTint="66"/>
          </w:tcPr>
          <w:p w:rsidR="00EB6AD7" w:rsidRPr="00AC573F" w:rsidRDefault="00EB6AD7" w:rsidP="00AC573F">
            <w:pPr>
              <w:jc w:val="both"/>
            </w:pPr>
            <w:r w:rsidRPr="00AC573F">
              <w:lastRenderedPageBreak/>
              <w:t>Pasūtītājs ir veicis tirgus izpēti, t.i., apzinājis iespējamo ieinteresēto piegādātāju loku, kuru pieredze varētu atbilst Nolikuma 3.4.1.punktā noteiktajām prasībām.</w:t>
            </w:r>
          </w:p>
          <w:p w:rsidR="00EB6AD7" w:rsidRPr="00AC573F" w:rsidRDefault="00EB6AD7" w:rsidP="00AC573F">
            <w:pPr>
              <w:jc w:val="both"/>
            </w:pPr>
            <w:r w:rsidRPr="00AC573F">
              <w:t>Papildus vēršam uzmanību uz to, ka gadījumā, ja kāds tirgus dalībnieks neatbilst noteiktajām prasībām, tas nenozīmē, ka prasības ir ierobežojošas, jo jebkuras prasības izvirzīšana rada situāciju, kas kādu var ierobežot.</w:t>
            </w:r>
          </w:p>
          <w:p w:rsidR="00EB6AD7" w:rsidRPr="00AC573F" w:rsidRDefault="00EB6AD7" w:rsidP="00AC573F">
            <w:pPr>
              <w:jc w:val="both"/>
            </w:pPr>
            <w:r w:rsidRPr="00AC573F">
              <w:t xml:space="preserve">Pasūtītājs ir ņēmis vērā, ka Latvijā darbojas daudz ārvalstu komersantu meitas uzņēmumi un ka piedāvājumus var iesniegt jebkurš  komersants no Eiropas Savienības un EEZ dalībvalsts.  Pasūtītājs norāda, ka ieinteresētie piegādātāji var apvienoties vai  </w:t>
            </w:r>
            <w:r w:rsidRPr="00AC573F">
              <w:lastRenderedPageBreak/>
              <w:t>piesaistīt citus uzņēmumus iepirkuma nolikuma kvalifikācijas prasību izpildei un līguma realizēšanai. Vēl jo vairāk, Pasūtītājam ir svarīgi, lai pretendentam, kurš iegūs līguma slēgšanas tiesības, patiešām būtu prasītā pieredze un pietiekami resursi līguma izpildei iepirkumu dokumentācijā noteiktajā termiņā un precīzi ievērojot starptermiņus. </w:t>
            </w:r>
          </w:p>
          <w:p w:rsidR="00EB6AD7" w:rsidRPr="00AC573F" w:rsidRDefault="00EB6AD7" w:rsidP="00AC573F">
            <w:pPr>
              <w:jc w:val="both"/>
            </w:pPr>
            <w:r w:rsidRPr="00AC573F">
              <w:t xml:space="preserve">Papildus paskaidrojam, ka nolikuma 3.4.1.punktā noteiktās prasības Pretendentam tikai paplašina iespējamo pretendentu loku, jo ir noteikts, ka pieredzi var apliecināt ar II vai III grupas inženierbūvēm, neierobežojot ar konkrētu inženierbūves, piemēram, ielas vai ceļa nosaukšanu (tie var būt ielu objekti, ūdens un kanalizācijas objekti, kā arī citi inženiertīklu izbūves objekti Latvijā vai ārvalstīs). Iepirkuma priekšmeta darbu apjoms ietver apjomīgus inženiertīklu (komunikāciju) izbūves darbus, tāpēc Pretendentam jebkurā gadījumā ir jādomā par pietiekamu resursu nodrošināšanu un piesaisti, kas spētu izpildīt inženiertīklu darbus. </w:t>
            </w:r>
          </w:p>
          <w:p w:rsidR="00EB6AD7" w:rsidRPr="00AC573F" w:rsidRDefault="00EB6AD7" w:rsidP="00AC573F">
            <w:pPr>
              <w:jc w:val="both"/>
            </w:pPr>
            <w:r w:rsidRPr="00AC573F">
              <w:t xml:space="preserve">Kā pierādījumu, ka tirgū ir ieinteresētie piegādātāji, kuriem ir prasībās noteiktā pieredze, varam norādīt uz sekojošiem iepirkumiem, bet, kas neparāda pilnībā visus līgumus: </w:t>
            </w:r>
          </w:p>
          <w:p w:rsidR="00EB6AD7" w:rsidRPr="00402472" w:rsidRDefault="008E69E4" w:rsidP="00AC573F">
            <w:pPr>
              <w:pStyle w:val="ListParagraph"/>
              <w:numPr>
                <w:ilvl w:val="0"/>
                <w:numId w:val="13"/>
              </w:numPr>
              <w:ind w:left="319" w:hanging="283"/>
              <w:contextualSpacing w:val="0"/>
              <w:jc w:val="both"/>
            </w:pPr>
            <w:hyperlink r:id="rId6" w:tgtFrame="_blank" w:history="1">
              <w:r w:rsidR="00EB6AD7" w:rsidRPr="00402472">
                <w:rPr>
                  <w:rStyle w:val="Hyperlink"/>
                  <w:color w:val="0D0D0D"/>
                  <w:u w:val="none"/>
                </w:rPr>
                <w:t>Auces pilsētas tranzītielu - Raiņa ielas un Vītiņu ielas - rekonstrukcijas projekta izstrāde, autoruzraudzība un būvniecība</w:t>
              </w:r>
            </w:hyperlink>
            <w:r w:rsidR="00EB6AD7" w:rsidRPr="00402472">
              <w:t xml:space="preserve"> (Pasūtītājs:</w:t>
            </w:r>
            <w:r w:rsidR="00EB6AD7" w:rsidRPr="00402472">
              <w:rPr>
                <w:bCs/>
              </w:rPr>
              <w:t xml:space="preserve"> Auces novada pašvaldība, līguma aptuvenā vērtība 2,04 milj.EUR); </w:t>
            </w:r>
          </w:p>
          <w:p w:rsidR="00EB6AD7" w:rsidRPr="00402472" w:rsidRDefault="00EB6AD7" w:rsidP="00AC573F">
            <w:pPr>
              <w:pStyle w:val="ListParagraph"/>
              <w:numPr>
                <w:ilvl w:val="0"/>
                <w:numId w:val="13"/>
              </w:numPr>
              <w:ind w:left="319" w:hanging="283"/>
              <w:contextualSpacing w:val="0"/>
              <w:jc w:val="both"/>
            </w:pPr>
            <w:r w:rsidRPr="00402472">
              <w:rPr>
                <w:color w:val="000000" w:themeColor="text1"/>
              </w:rPr>
              <w:t xml:space="preserve">„Ūdenssaimniecības pakalpojumu attīstība Baložos, II kārta” (Pasūtītājs: </w:t>
            </w:r>
            <w:r w:rsidRPr="00402472">
              <w:rPr>
                <w:bCs/>
                <w:color w:val="000000" w:themeColor="text1"/>
              </w:rPr>
              <w:t>SIA “Baložu komunālā saimniecība”, līguma aptuvenā vērtība 5,1 milj. EUR);</w:t>
            </w:r>
          </w:p>
          <w:p w:rsidR="00EB6AD7" w:rsidRPr="00402472" w:rsidRDefault="008E69E4" w:rsidP="00AC573F">
            <w:pPr>
              <w:pStyle w:val="ListParagraph"/>
              <w:numPr>
                <w:ilvl w:val="0"/>
                <w:numId w:val="13"/>
              </w:numPr>
              <w:ind w:left="319" w:hanging="283"/>
              <w:contextualSpacing w:val="0"/>
              <w:jc w:val="both"/>
            </w:pPr>
            <w:hyperlink r:id="rId7" w:tgtFrame="_blank" w:history="1">
              <w:r w:rsidR="00EB6AD7" w:rsidRPr="00402472">
                <w:rPr>
                  <w:rStyle w:val="Hyperlink"/>
                  <w:color w:val="000000" w:themeColor="text1"/>
                  <w:u w:val="none"/>
                </w:rPr>
                <w:t>Optiskā tīkla infrastruktūras projektēšanas un būvniecības papildu darbi Rīgas, Vidzemes, Kurzemes, Latgales un Zemgales plānošanas reģionos</w:t>
              </w:r>
            </w:hyperlink>
            <w:r w:rsidR="00EB6AD7" w:rsidRPr="00402472">
              <w:rPr>
                <w:color w:val="000000" w:themeColor="text1"/>
              </w:rPr>
              <w:t xml:space="preserve"> (Pasūtītājs: </w:t>
            </w:r>
            <w:hyperlink r:id="rId8" w:history="1">
              <w:r w:rsidR="00EB6AD7" w:rsidRPr="00402472">
                <w:rPr>
                  <w:rStyle w:val="Hyperlink"/>
                  <w:bCs/>
                  <w:color w:val="000000" w:themeColor="text1"/>
                  <w:u w:val="none"/>
                </w:rPr>
                <w:t>VAS "Latvijas valsts radio un televīzijas centrs"</w:t>
              </w:r>
            </w:hyperlink>
            <w:r w:rsidR="00EB6AD7" w:rsidRPr="00402472">
              <w:rPr>
                <w:color w:val="000000" w:themeColor="text1"/>
              </w:rPr>
              <w:t xml:space="preserve">, līguma aptuvenā vērtība: </w:t>
            </w:r>
            <w:r w:rsidR="00EB6AD7" w:rsidRPr="00402472">
              <w:rPr>
                <w:bCs/>
                <w:color w:val="000000" w:themeColor="text1"/>
              </w:rPr>
              <w:t>2,5 milj. EUR</w:t>
            </w:r>
          </w:p>
          <w:p w:rsidR="00EB6AD7" w:rsidRPr="00402472" w:rsidRDefault="008E69E4" w:rsidP="00AC573F">
            <w:pPr>
              <w:pStyle w:val="ListParagraph"/>
              <w:numPr>
                <w:ilvl w:val="0"/>
                <w:numId w:val="13"/>
              </w:numPr>
              <w:ind w:left="319" w:hanging="283"/>
              <w:contextualSpacing w:val="0"/>
              <w:jc w:val="both"/>
            </w:pPr>
            <w:hyperlink r:id="rId9" w:tgtFrame="_blank" w:history="1">
              <w:r w:rsidR="00EB6AD7" w:rsidRPr="00402472">
                <w:rPr>
                  <w:rStyle w:val="Hyperlink"/>
                  <w:color w:val="000000" w:themeColor="text1"/>
                  <w:u w:val="none"/>
                </w:rPr>
                <w:t>"Daugavas Dienvidu tilta labā krasta pieeju projektēšanas un būvniecības neparedzētie darbi" 2.daļa "Daugavas Dienvidu tilta labā krasta pieeju būvniecības neparedzētie darb</w:t>
              </w:r>
            </w:hyperlink>
            <w:r w:rsidR="00EB6AD7" w:rsidRPr="00402472">
              <w:rPr>
                <w:color w:val="000000" w:themeColor="text1"/>
              </w:rPr>
              <w:t xml:space="preserve">i (Pasūtītājs: </w:t>
            </w:r>
            <w:hyperlink r:id="rId10" w:history="1">
              <w:r w:rsidR="00EB6AD7" w:rsidRPr="00402472">
                <w:rPr>
                  <w:rStyle w:val="Hyperlink"/>
                  <w:bCs/>
                  <w:color w:val="000000" w:themeColor="text1"/>
                  <w:u w:val="none"/>
                </w:rPr>
                <w:t xml:space="preserve">Rīgas domes Satiksmes </w:t>
              </w:r>
              <w:r w:rsidR="00EB6AD7" w:rsidRPr="00402472">
                <w:rPr>
                  <w:rStyle w:val="Hyperlink"/>
                  <w:bCs/>
                  <w:color w:val="000000" w:themeColor="text1"/>
                  <w:u w:val="none"/>
                </w:rPr>
                <w:lastRenderedPageBreak/>
                <w:t>departaments</w:t>
              </w:r>
            </w:hyperlink>
            <w:r w:rsidR="00EB6AD7" w:rsidRPr="00402472">
              <w:rPr>
                <w:color w:val="000000" w:themeColor="text1"/>
              </w:rPr>
              <w:t>, līguma aptuvenā vērtība 1</w:t>
            </w:r>
            <w:r w:rsidR="00EB6AD7" w:rsidRPr="00402472">
              <w:rPr>
                <w:bCs/>
                <w:color w:val="000000" w:themeColor="text1"/>
              </w:rPr>
              <w:t>3,9 milj. EUR)</w:t>
            </w:r>
          </w:p>
          <w:p w:rsidR="00EB6AD7" w:rsidRPr="00402472" w:rsidRDefault="00EB6AD7" w:rsidP="00AC573F">
            <w:pPr>
              <w:pStyle w:val="ListParagraph"/>
              <w:numPr>
                <w:ilvl w:val="0"/>
                <w:numId w:val="13"/>
              </w:numPr>
              <w:ind w:left="319" w:hanging="283"/>
              <w:contextualSpacing w:val="0"/>
              <w:jc w:val="both"/>
              <w:rPr>
                <w:rStyle w:val="Hyperlink"/>
                <w:color w:val="000000" w:themeColor="text1"/>
                <w:u w:val="none"/>
              </w:rPr>
            </w:pPr>
            <w:r w:rsidRPr="00402472">
              <w:rPr>
                <w:rStyle w:val="Hyperlink"/>
                <w:color w:val="000000" w:themeColor="text1"/>
                <w:u w:val="none"/>
              </w:rPr>
              <w:t>Stacijas Bolderāja 2 ar savienojošo ceļu uz Krievu salas termināļiem būvniecība (Pasūtītājs: VAS “Latvijas Dzelzceļš”, līguma aptuvenā vērtība 41 milj.EUR)</w:t>
            </w:r>
          </w:p>
          <w:p w:rsidR="00EB6AD7" w:rsidRPr="00402472" w:rsidRDefault="00EB6AD7" w:rsidP="00402472">
            <w:pPr>
              <w:ind w:left="36"/>
              <w:jc w:val="both"/>
              <w:rPr>
                <w:color w:val="000000" w:themeColor="text1"/>
              </w:rPr>
            </w:pPr>
            <w:r w:rsidRPr="00402472">
              <w:rPr>
                <w:rStyle w:val="Hyperlink"/>
                <w:color w:val="000000" w:themeColor="text1"/>
                <w:u w:val="none"/>
              </w:rPr>
              <w:t>u.c.</w:t>
            </w:r>
          </w:p>
        </w:tc>
      </w:tr>
      <w:tr w:rsidR="00EB6AD7" w:rsidTr="007742B7">
        <w:trPr>
          <w:jc w:val="center"/>
        </w:trPr>
        <w:tc>
          <w:tcPr>
            <w:tcW w:w="508" w:type="dxa"/>
          </w:tcPr>
          <w:p w:rsidR="00EB6AD7" w:rsidRPr="00D23B0A" w:rsidRDefault="00EB6AD7" w:rsidP="00D23B0A">
            <w:pPr>
              <w:pStyle w:val="ListParagraph"/>
              <w:numPr>
                <w:ilvl w:val="0"/>
                <w:numId w:val="12"/>
              </w:numPr>
              <w:spacing w:after="200" w:line="276" w:lineRule="auto"/>
              <w:ind w:left="117" w:firstLine="0"/>
              <w:jc w:val="both"/>
              <w:rPr>
                <w:color w:val="262626" w:themeColor="text1" w:themeTint="D9"/>
              </w:rPr>
            </w:pPr>
          </w:p>
        </w:tc>
        <w:tc>
          <w:tcPr>
            <w:tcW w:w="5112" w:type="dxa"/>
          </w:tcPr>
          <w:p w:rsidR="00A341F8" w:rsidRPr="00AC573F" w:rsidRDefault="00A341F8" w:rsidP="00AC573F">
            <w:pPr>
              <w:pStyle w:val="Style8"/>
              <w:widowControl/>
              <w:spacing w:line="240" w:lineRule="auto"/>
              <w:rPr>
                <w:rStyle w:val="FontStyle12"/>
                <w:sz w:val="24"/>
                <w:szCs w:val="24"/>
              </w:rPr>
            </w:pPr>
            <w:r w:rsidRPr="00AC573F">
              <w:rPr>
                <w:rStyle w:val="FontStyle12"/>
                <w:sz w:val="24"/>
                <w:szCs w:val="24"/>
              </w:rPr>
              <w:t xml:space="preserve">Saskaņa ar nolikuma 3.4.1. punktu, Pretendents iepriekšējo 5 (piecu) kalendāro gadu laikā (2011., 2012., 2013., 2014., 2015. un 2016.gadā līdz piedāvājumu iesniegšanas termiņa beigām) kā galvenajam būvdarbu veicējam ir jābūt paveikušam vismaz 3 (trīs) II grupas vai III grupas inženierbūvju </w:t>
            </w:r>
            <w:r w:rsidRPr="00AC573F">
              <w:rPr>
                <w:rStyle w:val="FontStyle12"/>
                <w:sz w:val="24"/>
                <w:szCs w:val="24"/>
                <w:u w:val="single"/>
              </w:rPr>
              <w:t>pārbūves vai izbūves</w:t>
            </w:r>
            <w:r w:rsidRPr="00AC573F">
              <w:rPr>
                <w:rStyle w:val="FontStyle12"/>
                <w:sz w:val="24"/>
                <w:szCs w:val="24"/>
              </w:rPr>
              <w:t xml:space="preserve"> būvdarbu līgumu izpildi, kur katra līguma ietvaros veikta apakšzemes inženierkomunikāciju </w:t>
            </w:r>
            <w:r w:rsidRPr="00AC573F">
              <w:rPr>
                <w:rStyle w:val="FontStyle12"/>
                <w:sz w:val="24"/>
                <w:szCs w:val="24"/>
                <w:u w:val="single"/>
              </w:rPr>
              <w:t>pārbūve vai izbūve</w:t>
            </w:r>
            <w:r w:rsidRPr="00AC573F">
              <w:rPr>
                <w:rStyle w:val="FontStyle12"/>
                <w:sz w:val="24"/>
                <w:szCs w:val="24"/>
              </w:rPr>
              <w:t xml:space="preserve"> un ielas ar cieto segumu </w:t>
            </w:r>
            <w:r w:rsidRPr="00AC573F">
              <w:rPr>
                <w:rStyle w:val="FontStyle12"/>
                <w:sz w:val="24"/>
                <w:szCs w:val="24"/>
                <w:u w:val="single"/>
              </w:rPr>
              <w:t xml:space="preserve">pārbūve vai izbūve </w:t>
            </w:r>
            <w:r w:rsidRPr="00AC573F">
              <w:rPr>
                <w:rStyle w:val="FontStyle12"/>
                <w:sz w:val="24"/>
                <w:szCs w:val="24"/>
              </w:rPr>
              <w:t>vismaz 5000 m2 apmērā un ielas garums ir ne mazāks kā 650 m, tajā skaitā:</w:t>
            </w:r>
          </w:p>
          <w:p w:rsidR="00A341F8" w:rsidRPr="00AC573F" w:rsidRDefault="00A341F8" w:rsidP="00AC573F">
            <w:pPr>
              <w:pStyle w:val="Style1"/>
              <w:widowControl/>
              <w:numPr>
                <w:ilvl w:val="0"/>
                <w:numId w:val="14"/>
              </w:numPr>
              <w:tabs>
                <w:tab w:val="left" w:pos="42"/>
              </w:tabs>
              <w:spacing w:line="240" w:lineRule="auto"/>
              <w:ind w:left="42"/>
              <w:rPr>
                <w:rStyle w:val="FontStyle12"/>
                <w:sz w:val="24"/>
                <w:szCs w:val="24"/>
              </w:rPr>
            </w:pPr>
            <w:r w:rsidRPr="00AC573F">
              <w:rPr>
                <w:rStyle w:val="FontStyle12"/>
                <w:sz w:val="24"/>
                <w:szCs w:val="24"/>
              </w:rPr>
              <w:t>vismaz 1 (vienā) būvdarbu līgumā veikta veloceliņa vai apvienotā gājēju velosipēda celiņa izbūve ar garumu vismaz 650 m.</w:t>
            </w:r>
          </w:p>
          <w:p w:rsidR="00A341F8" w:rsidRPr="00AC573F" w:rsidRDefault="00A341F8" w:rsidP="00AC573F">
            <w:pPr>
              <w:pStyle w:val="Style1"/>
              <w:widowControl/>
              <w:numPr>
                <w:ilvl w:val="0"/>
                <w:numId w:val="14"/>
              </w:numPr>
              <w:tabs>
                <w:tab w:val="left" w:pos="42"/>
              </w:tabs>
              <w:spacing w:line="240" w:lineRule="auto"/>
              <w:ind w:left="42"/>
              <w:rPr>
                <w:rStyle w:val="FontStyle12"/>
                <w:sz w:val="24"/>
                <w:szCs w:val="24"/>
              </w:rPr>
            </w:pPr>
            <w:r w:rsidRPr="00AC573F">
              <w:rPr>
                <w:rStyle w:val="FontStyle12"/>
                <w:sz w:val="24"/>
                <w:szCs w:val="24"/>
              </w:rPr>
              <w:t>vismaz 1 (vienā) būvdarbu līgumā veikta lietus ūdens kanalizācijas izbūve vismaz 650 m garumā, no kuriem vismaz 300 m ir ne mazāks kā DN400.</w:t>
            </w:r>
          </w:p>
          <w:p w:rsidR="00A341F8" w:rsidRPr="00AC573F" w:rsidRDefault="00A341F8" w:rsidP="00AC573F">
            <w:pPr>
              <w:pStyle w:val="Style1"/>
              <w:widowControl/>
              <w:numPr>
                <w:ilvl w:val="0"/>
                <w:numId w:val="14"/>
              </w:numPr>
              <w:tabs>
                <w:tab w:val="left" w:pos="42"/>
              </w:tabs>
              <w:spacing w:line="240" w:lineRule="auto"/>
              <w:ind w:left="42"/>
              <w:rPr>
                <w:rStyle w:val="FontStyle12"/>
                <w:sz w:val="24"/>
                <w:szCs w:val="24"/>
              </w:rPr>
            </w:pPr>
            <w:r w:rsidRPr="00AC573F">
              <w:rPr>
                <w:rStyle w:val="FontStyle12"/>
                <w:sz w:val="24"/>
                <w:szCs w:val="24"/>
              </w:rPr>
              <w:t>vismaz 1 (viens) līgums ietver apvienoto projektēšanas un būvdarbu izpildi un tā būvdarbu līguma izmaksas ir ne mazākas kā 2'000'000,- EUR (divi miljoni euro).</w:t>
            </w:r>
          </w:p>
          <w:p w:rsidR="00A341F8" w:rsidRPr="00AC573F" w:rsidRDefault="00A341F8" w:rsidP="00AC573F">
            <w:pPr>
              <w:pStyle w:val="Style2"/>
              <w:widowControl/>
              <w:spacing w:line="240" w:lineRule="auto"/>
              <w:rPr>
                <w:rStyle w:val="FontStyle12"/>
                <w:sz w:val="24"/>
                <w:szCs w:val="24"/>
              </w:rPr>
            </w:pPr>
            <w:r w:rsidRPr="00AC573F">
              <w:rPr>
                <w:rStyle w:val="FontStyle12"/>
                <w:sz w:val="24"/>
                <w:szCs w:val="24"/>
              </w:rPr>
              <w:t>Būvdarbiem, ar kuriem tiek apliecināta prasītā Pretendenta pieredze, ir jābūt pabeigtiem un būvei pieņemtai ekspluatācijā līdz piedāvājuma iesniegšanas dienai.</w:t>
            </w:r>
          </w:p>
          <w:p w:rsidR="00EB6AD7" w:rsidRPr="00AC573F" w:rsidRDefault="00A341F8" w:rsidP="00AC573F">
            <w:pPr>
              <w:pStyle w:val="Style2"/>
              <w:widowControl/>
              <w:spacing w:line="240" w:lineRule="auto"/>
            </w:pPr>
            <w:r w:rsidRPr="00AC573F">
              <w:rPr>
                <w:rStyle w:val="FontStyle12"/>
                <w:sz w:val="24"/>
                <w:szCs w:val="24"/>
              </w:rPr>
              <w:t xml:space="preserve">Iepirkumu komisijas sēdēs protokolā Nr.05-30-2016/93-2, sniedzot skaidrojumu uz 21. jautājumu, Pasūtītājs ir skaidrojis, ka, kā nolikuma 3.4.1.3. apakšpunktam atbilstoši tiks atzīti arī apvienotie projektēšanas un būvniecības līgumi, kuri ir realizēti pēc FIDIC dzeltenās grāmatas noteikumiem. Praksē, pēdējo piecu gadu laikā šāda veida līgumi lielākoties ir realizēti ūdenssaimniecības jomā, kuros tiek veikti darbi uz vairākām ielām dažādos posmos, kā arī tiek veikta cietā seguma atjaunošana pēc inženierkomunikāciju izbūves, nereti tikai tranšejas platumā. Lūdzam skaidrot, vai par atbilstošu nolikuma 3.4.1. un 3.4.1.3. punkta prasībām tiks atzīts saskaņā ar FIDIC dzeltenās grāmatas noteikumiem izpildīts līgums, kura ietvaros ir veikta apakšzemes inženierkomunikāciju izbūve un asfaltbetona </w:t>
            </w:r>
            <w:r w:rsidRPr="00AC573F">
              <w:rPr>
                <w:rStyle w:val="FontStyle12"/>
                <w:sz w:val="24"/>
                <w:szCs w:val="24"/>
              </w:rPr>
              <w:lastRenderedPageBreak/>
              <w:t>seguma izbūve pēc inženierkomunikāciju izbūves (vismaz 5000 m2 apjomā), kā arī noteiktie vismaz 650 m (ielas garumam), tiek sasniegti summējot par vairākām ielām kopā?</w:t>
            </w:r>
          </w:p>
        </w:tc>
        <w:tc>
          <w:tcPr>
            <w:tcW w:w="4570" w:type="dxa"/>
            <w:shd w:val="clear" w:color="auto" w:fill="D6E3BC" w:themeFill="accent3" w:themeFillTint="66"/>
          </w:tcPr>
          <w:p w:rsidR="00EB6AD7" w:rsidRPr="00AC573F" w:rsidRDefault="00EB6AD7" w:rsidP="00AC573F">
            <w:pPr>
              <w:jc w:val="both"/>
            </w:pPr>
            <w:r w:rsidRPr="00AC573F">
              <w:lastRenderedPageBreak/>
              <w:t>Saskaņā ar FIDIC dzeltenās grāmatas noteikumiem izpildīts līgums atbilst prasībai par apvienoto projektēšanas un būvdarbu izpildi, savukārt apakšzemes inženierkomunikāciju pārbūvi vai izbūvi un ielas ar cieto segumu pārbūve vai izbūve vismaz 500</w:t>
            </w:r>
            <w:r w:rsidR="008E69E4">
              <w:t>0</w:t>
            </w:r>
            <w:bookmarkStart w:id="0" w:name="_GoBack"/>
            <w:bookmarkEnd w:id="0"/>
            <w:r w:rsidRPr="00AC573F">
              <w:t>m</w:t>
            </w:r>
            <w:r w:rsidRPr="00AC573F">
              <w:rPr>
                <w:vertAlign w:val="superscript"/>
              </w:rPr>
              <w:t>2</w:t>
            </w:r>
            <w:r w:rsidRPr="00AC573F">
              <w:t xml:space="preserve"> apmērā un ielas garums ne mazāks kā 650 m var tikt apliecināts summējot par vairākām ielām kopā viena būvprojekta un objekta ietvaros.</w:t>
            </w:r>
          </w:p>
        </w:tc>
      </w:tr>
      <w:tr w:rsidR="009D66B8" w:rsidTr="007742B7">
        <w:trPr>
          <w:jc w:val="center"/>
        </w:trPr>
        <w:tc>
          <w:tcPr>
            <w:tcW w:w="508" w:type="dxa"/>
          </w:tcPr>
          <w:p w:rsidR="009D66B8" w:rsidRPr="00D23B0A" w:rsidRDefault="009D66B8" w:rsidP="00D23B0A">
            <w:pPr>
              <w:pStyle w:val="ListParagraph"/>
              <w:numPr>
                <w:ilvl w:val="0"/>
                <w:numId w:val="12"/>
              </w:numPr>
              <w:spacing w:after="200" w:line="276" w:lineRule="auto"/>
              <w:ind w:left="117" w:firstLine="0"/>
              <w:jc w:val="both"/>
              <w:rPr>
                <w:color w:val="262626" w:themeColor="text1" w:themeTint="D9"/>
              </w:rPr>
            </w:pPr>
          </w:p>
        </w:tc>
        <w:tc>
          <w:tcPr>
            <w:tcW w:w="5112" w:type="dxa"/>
          </w:tcPr>
          <w:p w:rsidR="009D66B8" w:rsidRPr="00AC573F" w:rsidRDefault="009D66B8" w:rsidP="00AC573F">
            <w:pPr>
              <w:rPr>
                <w:rFonts w:eastAsiaTheme="minorHAnsi"/>
              </w:rPr>
            </w:pPr>
            <w:r w:rsidRPr="00AC573F">
              <w:t>Saskaņā ar tehnisko specifikāciju projektēšanai, Gaujas ielas brauktuvei izmantojams melns abrazīvās virsmas betona bruģakmens (200x100x80), savukārt SIA “Toma Kokina Birojs” projekta priekšizpētes sadaļā 9.izmaksu aprēķins brauktuvei norādīts asfaltbetona segums.</w:t>
            </w:r>
          </w:p>
          <w:p w:rsidR="009D66B8" w:rsidRPr="00AC573F" w:rsidRDefault="009D66B8" w:rsidP="00AC573F">
            <w:pPr>
              <w:rPr>
                <w:rFonts w:eastAsiaTheme="minorHAnsi"/>
              </w:rPr>
            </w:pPr>
            <w:r w:rsidRPr="00AC573F">
              <w:t>Lūdzam precizēt, kāds segums brauktuvei jāparedz.</w:t>
            </w:r>
          </w:p>
        </w:tc>
        <w:tc>
          <w:tcPr>
            <w:tcW w:w="4570" w:type="dxa"/>
            <w:shd w:val="clear" w:color="auto" w:fill="D6E3BC" w:themeFill="accent3" w:themeFillTint="66"/>
          </w:tcPr>
          <w:p w:rsidR="009D66B8" w:rsidRPr="00AC573F" w:rsidRDefault="009D66B8" w:rsidP="00AC573F">
            <w:pPr>
              <w:jc w:val="both"/>
              <w:rPr>
                <w:rFonts w:eastAsiaTheme="minorHAnsi"/>
              </w:rPr>
            </w:pPr>
            <w:r w:rsidRPr="00AC573F">
              <w:t xml:space="preserve">Brauktuvei jāparedz segums saskaņā ar atklāta konkursa Tehniskās specifikācijas (nolikuma 1.pielikums) projektēšanas uzdevuma 6.sadaļā noteiktajām prasībām, t.i., ielas brauktuvei izmantojams melns abrazīvās virsmas betona bruģakmens (200x100x80). </w:t>
            </w:r>
            <w:r w:rsidRPr="00AC573F">
              <w:rPr>
                <w:color w:val="000000"/>
              </w:rPr>
              <w:t xml:space="preserve">SIA “Toma Kokina Birojs” </w:t>
            </w:r>
            <w:r w:rsidRPr="00402472">
              <w:rPr>
                <w:bCs/>
                <w:color w:val="000000"/>
              </w:rPr>
              <w:t>projekta priekšizpētes dokumentācijai ir informatīvs raksturs</w:t>
            </w:r>
            <w:r w:rsidRPr="00AC573F">
              <w:rPr>
                <w:b/>
                <w:bCs/>
                <w:color w:val="000000"/>
              </w:rPr>
              <w:t xml:space="preserve"> </w:t>
            </w:r>
            <w:r w:rsidRPr="00AC573F">
              <w:rPr>
                <w:color w:val="000000"/>
              </w:rPr>
              <w:t>un pretrunu gadījumā noteicošais ir Projektēšanas uzdevums (atklāta konkursa nolikuma 1.pielikums Tehniskās specifikācijas).</w:t>
            </w:r>
          </w:p>
          <w:p w:rsidR="009D66B8" w:rsidRPr="00AC573F" w:rsidRDefault="009D66B8" w:rsidP="00AC573F">
            <w:pPr>
              <w:rPr>
                <w:rFonts w:eastAsiaTheme="minorHAnsi"/>
              </w:rPr>
            </w:pPr>
          </w:p>
        </w:tc>
      </w:tr>
    </w:tbl>
    <w:p w:rsidR="0099778D" w:rsidRDefault="0099778D" w:rsidP="0099778D">
      <w:pPr>
        <w:jc w:val="both"/>
        <w:rPr>
          <w:b/>
          <w:bCs/>
        </w:rPr>
      </w:pPr>
    </w:p>
    <w:p w:rsidR="00272811" w:rsidRDefault="00272811" w:rsidP="00221CA6">
      <w:pPr>
        <w:shd w:val="clear" w:color="auto" w:fill="D6E3BC" w:themeFill="accent3" w:themeFillTint="66"/>
        <w:jc w:val="both"/>
        <w:rPr>
          <w:b/>
          <w:bCs/>
        </w:rPr>
      </w:pPr>
      <w:r>
        <w:rPr>
          <w:b/>
          <w:bCs/>
        </w:rPr>
        <w:t xml:space="preserve">Komisija </w:t>
      </w:r>
      <w:r w:rsidR="00221CA6">
        <w:rPr>
          <w:b/>
          <w:bCs/>
        </w:rPr>
        <w:t xml:space="preserve">vienbalsīgi </w:t>
      </w:r>
      <w:r>
        <w:rPr>
          <w:b/>
          <w:bCs/>
        </w:rPr>
        <w:t xml:space="preserve">nolemj: </w:t>
      </w:r>
    </w:p>
    <w:p w:rsidR="00272811" w:rsidRPr="00221CA6" w:rsidRDefault="00272811" w:rsidP="00221CA6">
      <w:pPr>
        <w:numPr>
          <w:ilvl w:val="0"/>
          <w:numId w:val="1"/>
        </w:numPr>
        <w:shd w:val="clear" w:color="auto" w:fill="D6E3BC" w:themeFill="accent3" w:themeFillTint="66"/>
        <w:tabs>
          <w:tab w:val="num" w:pos="567"/>
        </w:tabs>
        <w:ind w:left="567" w:hanging="567"/>
        <w:jc w:val="both"/>
        <w:rPr>
          <w:b/>
        </w:rPr>
      </w:pPr>
      <w:r w:rsidRPr="00221CA6">
        <w:rPr>
          <w:b/>
        </w:rPr>
        <w:t xml:space="preserve">Atbalstīt </w:t>
      </w:r>
      <w:r w:rsidR="00D37DB0" w:rsidRPr="00221CA6">
        <w:rPr>
          <w:b/>
        </w:rPr>
        <w:t>sagatavotos skaidrojumus par iepirkuma</w:t>
      </w:r>
      <w:r w:rsidRPr="00221CA6">
        <w:rPr>
          <w:b/>
        </w:rPr>
        <w:t xml:space="preserve"> </w:t>
      </w:r>
      <w:r w:rsidR="00C9257E" w:rsidRPr="00221CA6">
        <w:rPr>
          <w:b/>
        </w:rPr>
        <w:t>„</w:t>
      </w:r>
      <w:r w:rsidR="007D2042" w:rsidRPr="00E77527">
        <w:t>„</w:t>
      </w:r>
      <w:r w:rsidR="007D2042" w:rsidRPr="007D2042">
        <w:rPr>
          <w:b/>
          <w:caps/>
        </w:rPr>
        <w:t>GAUJAS IELAS a Ādažos PĀRBŪVES BŪVPROJEKTA IZSTRĀDE UN BŪVDARBI</w:t>
      </w:r>
      <w:r w:rsidR="007D2042" w:rsidRPr="007D2042">
        <w:rPr>
          <w:b/>
        </w:rPr>
        <w:t>” (ID.Nr.: ĀND 2016/93)</w:t>
      </w:r>
      <w:r w:rsidR="00C9257E" w:rsidRPr="00221CA6">
        <w:rPr>
          <w:b/>
        </w:rPr>
        <w:t>” (ID.Nr.: ĀND 2016</w:t>
      </w:r>
      <w:r w:rsidR="007D2042">
        <w:rPr>
          <w:b/>
        </w:rPr>
        <w:t>/93</w:t>
      </w:r>
      <w:r w:rsidR="00C9257E" w:rsidRPr="00221CA6">
        <w:rPr>
          <w:b/>
        </w:rPr>
        <w:t>)</w:t>
      </w:r>
      <w:r w:rsidR="00FB4200" w:rsidRPr="00221CA6">
        <w:rPr>
          <w:b/>
        </w:rPr>
        <w:t xml:space="preserve"> </w:t>
      </w:r>
      <w:r w:rsidR="0083447E" w:rsidRPr="00221CA6">
        <w:rPr>
          <w:b/>
        </w:rPr>
        <w:t>nolikum</w:t>
      </w:r>
      <w:r w:rsidR="00D37DB0" w:rsidRPr="00221CA6">
        <w:rPr>
          <w:b/>
        </w:rPr>
        <w:t>u</w:t>
      </w:r>
      <w:r w:rsidRPr="00221CA6">
        <w:rPr>
          <w:b/>
          <w:i/>
        </w:rPr>
        <w:t>.</w:t>
      </w:r>
    </w:p>
    <w:p w:rsidR="00272811" w:rsidRPr="00221CA6" w:rsidRDefault="00D37DB0" w:rsidP="00221CA6">
      <w:pPr>
        <w:numPr>
          <w:ilvl w:val="0"/>
          <w:numId w:val="1"/>
        </w:numPr>
        <w:shd w:val="clear" w:color="auto" w:fill="D6E3BC" w:themeFill="accent3" w:themeFillTint="66"/>
        <w:tabs>
          <w:tab w:val="num" w:pos="567"/>
        </w:tabs>
        <w:ind w:left="567" w:hanging="567"/>
        <w:jc w:val="both"/>
        <w:rPr>
          <w:b/>
        </w:rPr>
      </w:pPr>
      <w:r w:rsidRPr="00221CA6">
        <w:rPr>
          <w:b/>
        </w:rPr>
        <w:t xml:space="preserve">Publicēt sagatavotos skaidrojumus </w:t>
      </w:r>
      <w:r w:rsidR="00575BDA" w:rsidRPr="00221CA6">
        <w:rPr>
          <w:b/>
        </w:rPr>
        <w:t>ĀND mājaslapā un nosūtīt visiem ieinteresētajiem pretendentiem.</w:t>
      </w:r>
      <w:r w:rsidR="00272811" w:rsidRPr="00221CA6">
        <w:rPr>
          <w:b/>
        </w:rPr>
        <w:t xml:space="preserve"> </w:t>
      </w:r>
    </w:p>
    <w:p w:rsidR="00272811" w:rsidRDefault="00272811" w:rsidP="00F3097D">
      <w:pPr>
        <w:ind w:left="720"/>
        <w:jc w:val="both"/>
      </w:pPr>
    </w:p>
    <w:p w:rsidR="00272811" w:rsidRDefault="00272811" w:rsidP="00272811">
      <w:pPr>
        <w:jc w:val="both"/>
      </w:pPr>
      <w:r>
        <w:rPr>
          <w:b/>
          <w:bCs/>
        </w:rPr>
        <w:t>Sēdi slēdz:</w:t>
      </w:r>
      <w:r>
        <w:t xml:space="preserve"> </w:t>
      </w:r>
    </w:p>
    <w:p w:rsidR="00272811" w:rsidRDefault="00272811" w:rsidP="00272811">
      <w:pPr>
        <w:ind w:firstLine="720"/>
        <w:jc w:val="both"/>
      </w:pPr>
      <w:r>
        <w:t>Komisijas pri</w:t>
      </w:r>
      <w:r w:rsidR="00CB1941">
        <w:t>ekšsēdētājs sēdi slēdz plkst. 12</w:t>
      </w:r>
      <w:r>
        <w:t>:00.</w:t>
      </w:r>
    </w:p>
    <w:p w:rsidR="00272811" w:rsidRDefault="00272811" w:rsidP="00272811">
      <w:pPr>
        <w:jc w:val="both"/>
      </w:pPr>
    </w:p>
    <w:p w:rsidR="00272811" w:rsidRDefault="00272811" w:rsidP="00272811">
      <w:pPr>
        <w:jc w:val="both"/>
        <w:rPr>
          <w:b/>
        </w:rPr>
      </w:pPr>
      <w:r>
        <w:rPr>
          <w:b/>
        </w:rPr>
        <w:t xml:space="preserve">Pielikumā:    </w:t>
      </w:r>
    </w:p>
    <w:p w:rsidR="00272811" w:rsidRDefault="00575BDA" w:rsidP="00272811">
      <w:pPr>
        <w:numPr>
          <w:ilvl w:val="0"/>
          <w:numId w:val="2"/>
        </w:numPr>
        <w:jc w:val="both"/>
      </w:pPr>
      <w:r>
        <w:t>Ieinteresēto pretendentu jautājumi</w:t>
      </w:r>
      <w:r w:rsidR="00272811">
        <w:t>;</w:t>
      </w:r>
    </w:p>
    <w:p w:rsidR="00272811" w:rsidRDefault="007279D9" w:rsidP="00272811">
      <w:pPr>
        <w:numPr>
          <w:ilvl w:val="0"/>
          <w:numId w:val="2"/>
        </w:numPr>
        <w:jc w:val="both"/>
      </w:pPr>
      <w:r>
        <w:t>Publikāciju izdruka</w:t>
      </w:r>
      <w:r w:rsidR="002A54C7">
        <w:t xml:space="preserve"> no ĀND </w:t>
      </w:r>
      <w:r>
        <w:t>mājaslapas</w:t>
      </w:r>
      <w:r w:rsidR="00272811">
        <w:t>.</w:t>
      </w:r>
    </w:p>
    <w:p w:rsidR="00272811" w:rsidRDefault="00272811" w:rsidP="00272811">
      <w:pPr>
        <w:ind w:left="720"/>
        <w:jc w:val="both"/>
      </w:pPr>
    </w:p>
    <w:p w:rsidR="00272811" w:rsidRDefault="00272811" w:rsidP="00272811">
      <w:pPr>
        <w:jc w:val="both"/>
      </w:pPr>
    </w:p>
    <w:p w:rsidR="00272811" w:rsidRDefault="00272811" w:rsidP="00272811">
      <w:pPr>
        <w:ind w:right="-694"/>
        <w:jc w:val="both"/>
      </w:pPr>
      <w:r>
        <w:t xml:space="preserve">Komisijas priekšsēdētājs: </w:t>
      </w:r>
      <w:r>
        <w:tab/>
      </w:r>
      <w:r>
        <w:tab/>
        <w:t>_____________________</w:t>
      </w:r>
      <w:r>
        <w:tab/>
        <w:t xml:space="preserve">A. Brūvers </w:t>
      </w:r>
    </w:p>
    <w:p w:rsidR="00272811" w:rsidRDefault="00272811" w:rsidP="00272811">
      <w:pPr>
        <w:ind w:right="-694"/>
        <w:jc w:val="both"/>
      </w:pPr>
    </w:p>
    <w:p w:rsidR="001D5B3D" w:rsidRDefault="00272811" w:rsidP="00E77527">
      <w:pPr>
        <w:ind w:right="-694"/>
        <w:jc w:val="both"/>
      </w:pPr>
      <w:r>
        <w:t>Komisijas locekļi:</w:t>
      </w:r>
      <w:r>
        <w:tab/>
      </w:r>
      <w:r>
        <w:tab/>
      </w:r>
      <w:r>
        <w:tab/>
      </w:r>
    </w:p>
    <w:p w:rsidR="00E63A48" w:rsidRDefault="00E63A48" w:rsidP="00E77527">
      <w:pPr>
        <w:ind w:right="-694"/>
        <w:jc w:val="both"/>
      </w:pPr>
      <w:r>
        <w:tab/>
      </w:r>
      <w:r>
        <w:tab/>
      </w:r>
      <w:r>
        <w:tab/>
      </w:r>
      <w:r>
        <w:tab/>
      </w:r>
      <w:r>
        <w:tab/>
        <w:t>_____________________</w:t>
      </w:r>
      <w:r>
        <w:tab/>
        <w:t>R. Šteina</w:t>
      </w:r>
    </w:p>
    <w:p w:rsidR="004671C4" w:rsidRDefault="004671C4" w:rsidP="00272811"/>
    <w:p w:rsidR="004671C4" w:rsidRDefault="004671C4" w:rsidP="00272811">
      <w:r>
        <w:tab/>
      </w:r>
      <w:r>
        <w:tab/>
      </w:r>
      <w:r>
        <w:tab/>
      </w:r>
      <w:r>
        <w:tab/>
      </w:r>
      <w:r>
        <w:tab/>
        <w:t>_____________________</w:t>
      </w:r>
      <w:r>
        <w:tab/>
        <w:t>H. Krasts</w:t>
      </w:r>
    </w:p>
    <w:p w:rsidR="00BE502E" w:rsidRDefault="00BE502E" w:rsidP="00272811"/>
    <w:p w:rsidR="00BE502E" w:rsidRDefault="00BE502E" w:rsidP="00272811">
      <w:r>
        <w:tab/>
      </w:r>
      <w:r>
        <w:tab/>
      </w:r>
      <w:r>
        <w:tab/>
      </w:r>
      <w:r>
        <w:tab/>
      </w:r>
      <w:r>
        <w:tab/>
        <w:t>_____________________</w:t>
      </w:r>
      <w:r>
        <w:tab/>
        <w:t>U. Dambis</w:t>
      </w:r>
    </w:p>
    <w:p w:rsidR="00575BDA" w:rsidRDefault="00575BDA" w:rsidP="00575BDA"/>
    <w:p w:rsidR="00575BDA" w:rsidRDefault="00575BDA" w:rsidP="00575BDA">
      <w:r>
        <w:tab/>
      </w:r>
      <w:r>
        <w:tab/>
      </w:r>
      <w:r>
        <w:tab/>
      </w:r>
      <w:r>
        <w:tab/>
      </w:r>
      <w:r>
        <w:tab/>
        <w:t>_____________________</w:t>
      </w:r>
      <w:r>
        <w:tab/>
        <w:t>V. Bulāns</w:t>
      </w:r>
    </w:p>
    <w:p w:rsidR="00575BDA" w:rsidRDefault="00575BDA" w:rsidP="00575BDA"/>
    <w:p w:rsidR="006B6501" w:rsidRDefault="00575BDA">
      <w:r>
        <w:tab/>
      </w:r>
      <w:r>
        <w:tab/>
      </w:r>
      <w:r w:rsidR="00FA62FA">
        <w:tab/>
      </w:r>
      <w:r w:rsidR="00FA62FA">
        <w:tab/>
      </w:r>
      <w:r w:rsidR="00FA62FA">
        <w:tab/>
        <w:t>_____________________</w:t>
      </w:r>
      <w:r w:rsidR="00FA62FA">
        <w:tab/>
        <w:t>E. Kāpa</w:t>
      </w:r>
    </w:p>
    <w:p w:rsidR="002A4B8E" w:rsidRDefault="002A4B8E"/>
    <w:p w:rsidR="002A4B8E" w:rsidRDefault="002A4B8E"/>
    <w:p w:rsidR="002A4B8E" w:rsidRDefault="002A4B8E"/>
    <w:sectPr w:rsidR="002A4B8E" w:rsidSect="00FA62FA">
      <w:pgSz w:w="11906" w:h="16838"/>
      <w:pgMar w:top="993"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290A4CA"/>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color w:val="auto"/>
      </w:rPr>
    </w:lvl>
    <w:lvl w:ilvl="2">
      <w:start w:val="1"/>
      <w:numFmt w:val="lowerLetter"/>
      <w:lvlText w:val="%3)"/>
      <w:lvlJc w:val="left"/>
      <w:pPr>
        <w:tabs>
          <w:tab w:val="num" w:pos="0"/>
        </w:tabs>
        <w:ind w:left="1224" w:hanging="504"/>
      </w:pPr>
      <w:rPr>
        <w:rFonts w:ascii="Times New Roman" w:eastAsia="Calibri" w:hAnsi="Times New Roman" w:cs="Times New Roman"/>
      </w:rPr>
    </w:lvl>
    <w:lvl w:ilvl="3">
      <w:start w:val="1"/>
      <w:numFmt w:val="decimal"/>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A7131EC"/>
    <w:multiLevelType w:val="hybridMultilevel"/>
    <w:tmpl w:val="EBA6F69C"/>
    <w:lvl w:ilvl="0" w:tplc="16D07E04">
      <w:start w:val="1"/>
      <w:numFmt w:val="lowerLetter"/>
      <w:lvlText w:val="%1)"/>
      <w:lvlJc w:val="left"/>
      <w:pPr>
        <w:ind w:left="1480" w:hanging="400"/>
      </w:pPr>
      <w:rPr>
        <w:rFonts w:hint="default"/>
        <w:color w:val="2626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C881048"/>
    <w:multiLevelType w:val="hybridMultilevel"/>
    <w:tmpl w:val="B4F21E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nsid w:val="2FBF5D8F"/>
    <w:multiLevelType w:val="multilevel"/>
    <w:tmpl w:val="5920922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390711C6"/>
    <w:multiLevelType w:val="singleLevel"/>
    <w:tmpl w:val="3C4C7A12"/>
    <w:lvl w:ilvl="0">
      <w:start w:val="1"/>
      <w:numFmt w:val="decimal"/>
      <w:lvlText w:val="3.4.1.%1."/>
      <w:legacy w:legacy="1" w:legacySpace="0" w:legacyIndent="1433"/>
      <w:lvlJc w:val="left"/>
      <w:rPr>
        <w:rFonts w:ascii="Times New Roman" w:hAnsi="Times New Roman" w:cs="Times New Roman" w:hint="default"/>
      </w:rPr>
    </w:lvl>
  </w:abstractNum>
  <w:abstractNum w:abstractNumId="5">
    <w:nsid w:val="3B921A91"/>
    <w:multiLevelType w:val="hybridMultilevel"/>
    <w:tmpl w:val="5D84291A"/>
    <w:lvl w:ilvl="0" w:tplc="977E3DD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nsid w:val="41AD5AF0"/>
    <w:multiLevelType w:val="hybridMultilevel"/>
    <w:tmpl w:val="092AD3AE"/>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nsid w:val="4EAE210B"/>
    <w:multiLevelType w:val="hybridMultilevel"/>
    <w:tmpl w:val="9C5AC242"/>
    <w:lvl w:ilvl="0" w:tplc="04882D04">
      <w:start w:val="1"/>
      <w:numFmt w:val="decimal"/>
      <w:lvlText w:val="%1)"/>
      <w:lvlJc w:val="left"/>
      <w:pPr>
        <w:ind w:left="720" w:hanging="360"/>
      </w:pPr>
      <w:rPr>
        <w:rFonts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514C11B5"/>
    <w:multiLevelType w:val="hybridMultilevel"/>
    <w:tmpl w:val="4700203C"/>
    <w:lvl w:ilvl="0" w:tplc="C9F685B8">
      <w:start w:val="1"/>
      <w:numFmt w:val="decimal"/>
      <w:lvlText w:val="%1."/>
      <w:lvlJc w:val="left"/>
      <w:pPr>
        <w:tabs>
          <w:tab w:val="num" w:pos="1170"/>
        </w:tabs>
        <w:ind w:left="1170" w:hanging="450"/>
      </w:pPr>
    </w:lvl>
    <w:lvl w:ilvl="1" w:tplc="04260019">
      <w:start w:val="1"/>
      <w:numFmt w:val="lowerLetter"/>
      <w:lvlText w:val="%2."/>
      <w:lvlJc w:val="left"/>
      <w:pPr>
        <w:tabs>
          <w:tab w:val="num" w:pos="1800"/>
        </w:tabs>
        <w:ind w:left="1800" w:hanging="360"/>
      </w:pPr>
    </w:lvl>
    <w:lvl w:ilvl="2" w:tplc="0426001B">
      <w:start w:val="1"/>
      <w:numFmt w:val="lowerRoman"/>
      <w:lvlText w:val="%3."/>
      <w:lvlJc w:val="right"/>
      <w:pPr>
        <w:tabs>
          <w:tab w:val="num" w:pos="2520"/>
        </w:tabs>
        <w:ind w:left="2520" w:hanging="180"/>
      </w:pPr>
    </w:lvl>
    <w:lvl w:ilvl="3" w:tplc="0426000F">
      <w:start w:val="1"/>
      <w:numFmt w:val="decimal"/>
      <w:lvlText w:val="%4."/>
      <w:lvlJc w:val="left"/>
      <w:pPr>
        <w:tabs>
          <w:tab w:val="num" w:pos="3240"/>
        </w:tabs>
        <w:ind w:left="3240" w:hanging="360"/>
      </w:pPr>
    </w:lvl>
    <w:lvl w:ilvl="4" w:tplc="04260019">
      <w:start w:val="1"/>
      <w:numFmt w:val="lowerLetter"/>
      <w:lvlText w:val="%5."/>
      <w:lvlJc w:val="left"/>
      <w:pPr>
        <w:tabs>
          <w:tab w:val="num" w:pos="3960"/>
        </w:tabs>
        <w:ind w:left="3960" w:hanging="360"/>
      </w:pPr>
    </w:lvl>
    <w:lvl w:ilvl="5" w:tplc="0426001B">
      <w:start w:val="1"/>
      <w:numFmt w:val="lowerRoman"/>
      <w:lvlText w:val="%6."/>
      <w:lvlJc w:val="right"/>
      <w:pPr>
        <w:tabs>
          <w:tab w:val="num" w:pos="4680"/>
        </w:tabs>
        <w:ind w:left="4680" w:hanging="180"/>
      </w:pPr>
    </w:lvl>
    <w:lvl w:ilvl="6" w:tplc="0426000F">
      <w:start w:val="1"/>
      <w:numFmt w:val="decimal"/>
      <w:lvlText w:val="%7."/>
      <w:lvlJc w:val="left"/>
      <w:pPr>
        <w:tabs>
          <w:tab w:val="num" w:pos="5400"/>
        </w:tabs>
        <w:ind w:left="5400" w:hanging="360"/>
      </w:pPr>
    </w:lvl>
    <w:lvl w:ilvl="7" w:tplc="04260019">
      <w:start w:val="1"/>
      <w:numFmt w:val="lowerLetter"/>
      <w:lvlText w:val="%8."/>
      <w:lvlJc w:val="left"/>
      <w:pPr>
        <w:tabs>
          <w:tab w:val="num" w:pos="6120"/>
        </w:tabs>
        <w:ind w:left="6120" w:hanging="360"/>
      </w:pPr>
    </w:lvl>
    <w:lvl w:ilvl="8" w:tplc="0426001B">
      <w:start w:val="1"/>
      <w:numFmt w:val="lowerRoman"/>
      <w:lvlText w:val="%9."/>
      <w:lvlJc w:val="right"/>
      <w:pPr>
        <w:tabs>
          <w:tab w:val="num" w:pos="6840"/>
        </w:tabs>
        <w:ind w:left="6840" w:hanging="180"/>
      </w:pPr>
    </w:lvl>
  </w:abstractNum>
  <w:abstractNum w:abstractNumId="9">
    <w:nsid w:val="53BC1ABD"/>
    <w:multiLevelType w:val="hybridMultilevel"/>
    <w:tmpl w:val="60E25A8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5CA91712"/>
    <w:multiLevelType w:val="hybridMultilevel"/>
    <w:tmpl w:val="DC926FE0"/>
    <w:lvl w:ilvl="0" w:tplc="F2B48F46">
      <w:start w:val="1"/>
      <w:numFmt w:val="lowerLetter"/>
      <w:lvlText w:val="(%1)"/>
      <w:lvlJc w:val="left"/>
      <w:pPr>
        <w:ind w:left="801" w:hanging="375"/>
      </w:pPr>
      <w:rPr>
        <w:rFonts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600610D7"/>
    <w:multiLevelType w:val="hybridMultilevel"/>
    <w:tmpl w:val="60E25A8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69F7075D"/>
    <w:multiLevelType w:val="hybridMultilevel"/>
    <w:tmpl w:val="22A46E46"/>
    <w:lvl w:ilvl="0" w:tplc="ADBA5758">
      <w:start w:val="8"/>
      <w:numFmt w:val="lowerLetter"/>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11"/>
  </w:num>
  <w:num w:numId="6">
    <w:abstractNumId w:val="9"/>
  </w:num>
  <w:num w:numId="7">
    <w:abstractNumId w:val="0"/>
  </w:num>
  <w:num w:numId="8">
    <w:abstractNumId w:val="12"/>
  </w:num>
  <w:num w:numId="9">
    <w:abstractNumId w:val="1"/>
  </w:num>
  <w:num w:numId="10">
    <w:abstractNumId w:val="10"/>
  </w:num>
  <w:num w:numId="11">
    <w:abstractNumId w:val="3"/>
  </w:num>
  <w:num w:numId="12">
    <w:abstractNumId w:val="6"/>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35D"/>
    <w:rsid w:val="00023408"/>
    <w:rsid w:val="00056B5F"/>
    <w:rsid w:val="000641DF"/>
    <w:rsid w:val="00081D12"/>
    <w:rsid w:val="00085A50"/>
    <w:rsid w:val="000B0B2D"/>
    <w:rsid w:val="000B465D"/>
    <w:rsid w:val="000C04A9"/>
    <w:rsid w:val="00146516"/>
    <w:rsid w:val="001872C4"/>
    <w:rsid w:val="001A579D"/>
    <w:rsid w:val="001D5B3D"/>
    <w:rsid w:val="001E56B8"/>
    <w:rsid w:val="001F4577"/>
    <w:rsid w:val="0020090F"/>
    <w:rsid w:val="00212495"/>
    <w:rsid w:val="00221CA6"/>
    <w:rsid w:val="002402A7"/>
    <w:rsid w:val="002716BB"/>
    <w:rsid w:val="00272811"/>
    <w:rsid w:val="00276B57"/>
    <w:rsid w:val="00282899"/>
    <w:rsid w:val="002A1C45"/>
    <w:rsid w:val="002A4B8E"/>
    <w:rsid w:val="002A54C7"/>
    <w:rsid w:val="002A72D5"/>
    <w:rsid w:val="002D1A9F"/>
    <w:rsid w:val="002E2753"/>
    <w:rsid w:val="002E66BC"/>
    <w:rsid w:val="003171CD"/>
    <w:rsid w:val="003241BF"/>
    <w:rsid w:val="00345649"/>
    <w:rsid w:val="00347760"/>
    <w:rsid w:val="00356607"/>
    <w:rsid w:val="0036711B"/>
    <w:rsid w:val="00370CAF"/>
    <w:rsid w:val="00384B96"/>
    <w:rsid w:val="003A083C"/>
    <w:rsid w:val="003A14D0"/>
    <w:rsid w:val="003A6914"/>
    <w:rsid w:val="003D78D5"/>
    <w:rsid w:val="003E5AB8"/>
    <w:rsid w:val="003E6729"/>
    <w:rsid w:val="00402472"/>
    <w:rsid w:val="004355BF"/>
    <w:rsid w:val="00442341"/>
    <w:rsid w:val="0045036C"/>
    <w:rsid w:val="0045072A"/>
    <w:rsid w:val="0045303E"/>
    <w:rsid w:val="00460AF9"/>
    <w:rsid w:val="00463D9A"/>
    <w:rsid w:val="004671C4"/>
    <w:rsid w:val="00481595"/>
    <w:rsid w:val="00487F2D"/>
    <w:rsid w:val="004A15F4"/>
    <w:rsid w:val="004E5A66"/>
    <w:rsid w:val="004F6114"/>
    <w:rsid w:val="005031E1"/>
    <w:rsid w:val="0051048E"/>
    <w:rsid w:val="005215A6"/>
    <w:rsid w:val="00553B33"/>
    <w:rsid w:val="00557FC7"/>
    <w:rsid w:val="00570800"/>
    <w:rsid w:val="00575BDA"/>
    <w:rsid w:val="00580D28"/>
    <w:rsid w:val="005D66B5"/>
    <w:rsid w:val="005D7642"/>
    <w:rsid w:val="00600BFE"/>
    <w:rsid w:val="006208C5"/>
    <w:rsid w:val="00650725"/>
    <w:rsid w:val="006545B0"/>
    <w:rsid w:val="00677639"/>
    <w:rsid w:val="006852D4"/>
    <w:rsid w:val="006B2C5B"/>
    <w:rsid w:val="006B6501"/>
    <w:rsid w:val="006B68BA"/>
    <w:rsid w:val="006C1F33"/>
    <w:rsid w:val="006C2C11"/>
    <w:rsid w:val="006C4AC3"/>
    <w:rsid w:val="006D37E1"/>
    <w:rsid w:val="006E5EF9"/>
    <w:rsid w:val="007079A4"/>
    <w:rsid w:val="007279D9"/>
    <w:rsid w:val="0073103E"/>
    <w:rsid w:val="00733E09"/>
    <w:rsid w:val="00734C42"/>
    <w:rsid w:val="007540AC"/>
    <w:rsid w:val="00771E3D"/>
    <w:rsid w:val="007742B7"/>
    <w:rsid w:val="00785769"/>
    <w:rsid w:val="007922AD"/>
    <w:rsid w:val="007A06A6"/>
    <w:rsid w:val="007A701A"/>
    <w:rsid w:val="007B2C9C"/>
    <w:rsid w:val="007B7122"/>
    <w:rsid w:val="007D2042"/>
    <w:rsid w:val="007F11C8"/>
    <w:rsid w:val="00800FAE"/>
    <w:rsid w:val="00805173"/>
    <w:rsid w:val="0083447E"/>
    <w:rsid w:val="00844A32"/>
    <w:rsid w:val="00854530"/>
    <w:rsid w:val="00863C22"/>
    <w:rsid w:val="00871563"/>
    <w:rsid w:val="008A2CC0"/>
    <w:rsid w:val="008B4DF1"/>
    <w:rsid w:val="008C3F6F"/>
    <w:rsid w:val="008E69E4"/>
    <w:rsid w:val="008F073F"/>
    <w:rsid w:val="00931A71"/>
    <w:rsid w:val="00956358"/>
    <w:rsid w:val="00974831"/>
    <w:rsid w:val="0099778D"/>
    <w:rsid w:val="009A1D8F"/>
    <w:rsid w:val="009A6F62"/>
    <w:rsid w:val="009C5044"/>
    <w:rsid w:val="009C5AF6"/>
    <w:rsid w:val="009C674F"/>
    <w:rsid w:val="009D16A3"/>
    <w:rsid w:val="009D432E"/>
    <w:rsid w:val="009D66B8"/>
    <w:rsid w:val="00A07556"/>
    <w:rsid w:val="00A341F8"/>
    <w:rsid w:val="00A47D1F"/>
    <w:rsid w:val="00A57D0A"/>
    <w:rsid w:val="00A871A3"/>
    <w:rsid w:val="00A871CD"/>
    <w:rsid w:val="00A9133A"/>
    <w:rsid w:val="00AA091C"/>
    <w:rsid w:val="00AA3E52"/>
    <w:rsid w:val="00AA6642"/>
    <w:rsid w:val="00AB0913"/>
    <w:rsid w:val="00AC573F"/>
    <w:rsid w:val="00AE1844"/>
    <w:rsid w:val="00AF1B88"/>
    <w:rsid w:val="00B118CA"/>
    <w:rsid w:val="00B22AAB"/>
    <w:rsid w:val="00B30B65"/>
    <w:rsid w:val="00B4068D"/>
    <w:rsid w:val="00B41387"/>
    <w:rsid w:val="00B52763"/>
    <w:rsid w:val="00B5439B"/>
    <w:rsid w:val="00B5557C"/>
    <w:rsid w:val="00B66A31"/>
    <w:rsid w:val="00B67395"/>
    <w:rsid w:val="00B80BB2"/>
    <w:rsid w:val="00B81490"/>
    <w:rsid w:val="00B95BE5"/>
    <w:rsid w:val="00BD1225"/>
    <w:rsid w:val="00BD2B16"/>
    <w:rsid w:val="00BE3CD9"/>
    <w:rsid w:val="00BE502E"/>
    <w:rsid w:val="00BF4D19"/>
    <w:rsid w:val="00C065B8"/>
    <w:rsid w:val="00C26CC0"/>
    <w:rsid w:val="00C53680"/>
    <w:rsid w:val="00C9257E"/>
    <w:rsid w:val="00C93910"/>
    <w:rsid w:val="00CB0561"/>
    <w:rsid w:val="00CB1941"/>
    <w:rsid w:val="00D12867"/>
    <w:rsid w:val="00D23B0A"/>
    <w:rsid w:val="00D37DB0"/>
    <w:rsid w:val="00D72790"/>
    <w:rsid w:val="00DB4A36"/>
    <w:rsid w:val="00DB6C6C"/>
    <w:rsid w:val="00DE160A"/>
    <w:rsid w:val="00E0125D"/>
    <w:rsid w:val="00E15504"/>
    <w:rsid w:val="00E33CFC"/>
    <w:rsid w:val="00E45168"/>
    <w:rsid w:val="00E460B0"/>
    <w:rsid w:val="00E52257"/>
    <w:rsid w:val="00E604E3"/>
    <w:rsid w:val="00E63A48"/>
    <w:rsid w:val="00E7558E"/>
    <w:rsid w:val="00E77527"/>
    <w:rsid w:val="00EB6AD7"/>
    <w:rsid w:val="00F0456B"/>
    <w:rsid w:val="00F113EC"/>
    <w:rsid w:val="00F3097D"/>
    <w:rsid w:val="00F4642A"/>
    <w:rsid w:val="00F85065"/>
    <w:rsid w:val="00FA62FA"/>
    <w:rsid w:val="00FA6B7F"/>
    <w:rsid w:val="00FB3EB1"/>
    <w:rsid w:val="00FB4200"/>
    <w:rsid w:val="00FC0F29"/>
    <w:rsid w:val="00FC462A"/>
    <w:rsid w:val="00FC7C5D"/>
    <w:rsid w:val="00FE0F09"/>
    <w:rsid w:val="00FF23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81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72811"/>
    <w:pPr>
      <w:keepNext/>
      <w:jc w:val="center"/>
      <w:outlineLvl w:val="0"/>
    </w:pPr>
    <w:rPr>
      <w:sz w:val="28"/>
    </w:rPr>
  </w:style>
  <w:style w:type="paragraph" w:styleId="Heading2">
    <w:name w:val="heading 2"/>
    <w:basedOn w:val="Normal"/>
    <w:next w:val="Normal"/>
    <w:link w:val="Heading2Char"/>
    <w:semiHidden/>
    <w:unhideWhenUsed/>
    <w:qFormat/>
    <w:rsid w:val="00272811"/>
    <w:pPr>
      <w:keepNext/>
      <w:jc w:val="both"/>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2811"/>
    <w:rPr>
      <w:rFonts w:ascii="Times New Roman" w:eastAsia="Times New Roman" w:hAnsi="Times New Roman" w:cs="Times New Roman"/>
      <w:sz w:val="28"/>
      <w:szCs w:val="24"/>
    </w:rPr>
  </w:style>
  <w:style w:type="character" w:customStyle="1" w:styleId="Heading2Char">
    <w:name w:val="Heading 2 Char"/>
    <w:basedOn w:val="DefaultParagraphFont"/>
    <w:link w:val="Heading2"/>
    <w:semiHidden/>
    <w:rsid w:val="00272811"/>
    <w:rPr>
      <w:rFonts w:ascii="Times New Roman" w:eastAsia="Times New Roman" w:hAnsi="Times New Roman" w:cs="Times New Roman"/>
      <w:sz w:val="28"/>
      <w:szCs w:val="24"/>
    </w:rPr>
  </w:style>
  <w:style w:type="character" w:customStyle="1" w:styleId="Normal14ptChar">
    <w:name w:val="Normal + 14 pt Char"/>
    <w:aliases w:val="Bold Char"/>
    <w:link w:val="Normal14pt"/>
    <w:locked/>
    <w:rsid w:val="00272811"/>
    <w:rPr>
      <w:b/>
      <w:sz w:val="28"/>
      <w:szCs w:val="28"/>
    </w:rPr>
  </w:style>
  <w:style w:type="paragraph" w:customStyle="1" w:styleId="Normal14pt">
    <w:name w:val="Normal + 14 pt"/>
    <w:aliases w:val="Bold"/>
    <w:basedOn w:val="Normal"/>
    <w:link w:val="Normal14ptChar"/>
    <w:rsid w:val="00272811"/>
    <w:pPr>
      <w:jc w:val="center"/>
    </w:pPr>
    <w:rPr>
      <w:rFonts w:asciiTheme="minorHAnsi" w:eastAsiaTheme="minorHAnsi" w:hAnsiTheme="minorHAnsi" w:cstheme="minorBidi"/>
      <w:b/>
      <w:sz w:val="28"/>
      <w:szCs w:val="28"/>
    </w:rPr>
  </w:style>
  <w:style w:type="character" w:styleId="Hyperlink">
    <w:name w:val="Hyperlink"/>
    <w:basedOn w:val="DefaultParagraphFont"/>
    <w:uiPriority w:val="99"/>
    <w:unhideWhenUsed/>
    <w:rsid w:val="0045036C"/>
    <w:rPr>
      <w:color w:val="0000FF" w:themeColor="hyperlink"/>
      <w:u w:val="single"/>
    </w:rPr>
  </w:style>
  <w:style w:type="paragraph" w:styleId="ListParagraph">
    <w:name w:val="List Paragraph"/>
    <w:basedOn w:val="Normal"/>
    <w:uiPriority w:val="34"/>
    <w:qFormat/>
    <w:rsid w:val="00BF4D19"/>
    <w:pPr>
      <w:ind w:left="720"/>
      <w:contextualSpacing/>
    </w:pPr>
  </w:style>
  <w:style w:type="table" w:styleId="TableGrid">
    <w:name w:val="Table Grid"/>
    <w:basedOn w:val="TableNormal"/>
    <w:uiPriority w:val="59"/>
    <w:rsid w:val="000641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974831"/>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74831"/>
    <w:rPr>
      <w:sz w:val="20"/>
      <w:szCs w:val="20"/>
    </w:rPr>
  </w:style>
  <w:style w:type="character" w:styleId="CommentReference">
    <w:name w:val="annotation reference"/>
    <w:basedOn w:val="DefaultParagraphFont"/>
    <w:uiPriority w:val="99"/>
    <w:semiHidden/>
    <w:unhideWhenUsed/>
    <w:rsid w:val="00974831"/>
    <w:rPr>
      <w:sz w:val="16"/>
      <w:szCs w:val="16"/>
    </w:rPr>
  </w:style>
  <w:style w:type="paragraph" w:styleId="BalloonText">
    <w:name w:val="Balloon Text"/>
    <w:basedOn w:val="Normal"/>
    <w:link w:val="BalloonTextChar"/>
    <w:uiPriority w:val="99"/>
    <w:semiHidden/>
    <w:unhideWhenUsed/>
    <w:rsid w:val="00974831"/>
    <w:rPr>
      <w:rFonts w:ascii="Tahoma" w:hAnsi="Tahoma" w:cs="Tahoma"/>
      <w:sz w:val="16"/>
      <w:szCs w:val="16"/>
    </w:rPr>
  </w:style>
  <w:style w:type="character" w:customStyle="1" w:styleId="BalloonTextChar">
    <w:name w:val="Balloon Text Char"/>
    <w:basedOn w:val="DefaultParagraphFont"/>
    <w:link w:val="BalloonText"/>
    <w:uiPriority w:val="99"/>
    <w:semiHidden/>
    <w:rsid w:val="00974831"/>
    <w:rPr>
      <w:rFonts w:ascii="Tahoma" w:eastAsia="Times New Roman" w:hAnsi="Tahoma" w:cs="Tahoma"/>
      <w:sz w:val="16"/>
      <w:szCs w:val="16"/>
    </w:rPr>
  </w:style>
  <w:style w:type="paragraph" w:customStyle="1" w:styleId="Style8">
    <w:name w:val="Style8"/>
    <w:basedOn w:val="Normal"/>
    <w:uiPriority w:val="99"/>
    <w:rsid w:val="002A4B8E"/>
    <w:pPr>
      <w:widowControl w:val="0"/>
      <w:autoSpaceDE w:val="0"/>
      <w:autoSpaceDN w:val="0"/>
      <w:adjustRightInd w:val="0"/>
      <w:spacing w:line="398" w:lineRule="exact"/>
      <w:jc w:val="both"/>
    </w:pPr>
    <w:rPr>
      <w:rFonts w:ascii="Trebuchet MS" w:eastAsiaTheme="minorEastAsia" w:hAnsi="Trebuchet MS" w:cstheme="minorBidi"/>
      <w:lang w:eastAsia="lv-LV"/>
    </w:rPr>
  </w:style>
  <w:style w:type="paragraph" w:customStyle="1" w:styleId="Style10">
    <w:name w:val="Style10"/>
    <w:basedOn w:val="Normal"/>
    <w:uiPriority w:val="99"/>
    <w:rsid w:val="002A4B8E"/>
    <w:pPr>
      <w:widowControl w:val="0"/>
      <w:autoSpaceDE w:val="0"/>
      <w:autoSpaceDN w:val="0"/>
      <w:adjustRightInd w:val="0"/>
      <w:spacing w:line="389" w:lineRule="exact"/>
      <w:jc w:val="both"/>
    </w:pPr>
    <w:rPr>
      <w:rFonts w:ascii="Trebuchet MS" w:eastAsiaTheme="minorEastAsia" w:hAnsi="Trebuchet MS" w:cstheme="minorBidi"/>
      <w:lang w:eastAsia="lv-LV"/>
    </w:rPr>
  </w:style>
  <w:style w:type="character" w:customStyle="1" w:styleId="FontStyle14">
    <w:name w:val="Font Style14"/>
    <w:basedOn w:val="DefaultParagraphFont"/>
    <w:uiPriority w:val="99"/>
    <w:rsid w:val="002A4B8E"/>
    <w:rPr>
      <w:rFonts w:ascii="Times New Roman" w:hAnsi="Times New Roman" w:cs="Times New Roman"/>
      <w:b/>
      <w:bCs/>
      <w:sz w:val="20"/>
      <w:szCs w:val="20"/>
    </w:rPr>
  </w:style>
  <w:style w:type="character" w:customStyle="1" w:styleId="FontStyle15">
    <w:name w:val="Font Style15"/>
    <w:basedOn w:val="DefaultParagraphFont"/>
    <w:uiPriority w:val="99"/>
    <w:rsid w:val="002A4B8E"/>
    <w:rPr>
      <w:rFonts w:ascii="Times New Roman" w:hAnsi="Times New Roman" w:cs="Times New Roman"/>
      <w:i/>
      <w:iCs/>
      <w:sz w:val="20"/>
      <w:szCs w:val="20"/>
    </w:rPr>
  </w:style>
  <w:style w:type="character" w:customStyle="1" w:styleId="FontStyle17">
    <w:name w:val="Font Style17"/>
    <w:basedOn w:val="DefaultParagraphFont"/>
    <w:uiPriority w:val="99"/>
    <w:rsid w:val="002A4B8E"/>
    <w:rPr>
      <w:rFonts w:ascii="Times New Roman" w:hAnsi="Times New Roman" w:cs="Times New Roman"/>
      <w:sz w:val="20"/>
      <w:szCs w:val="20"/>
    </w:rPr>
  </w:style>
  <w:style w:type="character" w:customStyle="1" w:styleId="FontStyle18">
    <w:name w:val="Font Style18"/>
    <w:basedOn w:val="DefaultParagraphFont"/>
    <w:uiPriority w:val="99"/>
    <w:rsid w:val="002A4B8E"/>
    <w:rPr>
      <w:rFonts w:ascii="Times New Roman" w:hAnsi="Times New Roman" w:cs="Times New Roman"/>
      <w:i/>
      <w:iCs/>
      <w:spacing w:val="-10"/>
      <w:sz w:val="32"/>
      <w:szCs w:val="32"/>
    </w:rPr>
  </w:style>
  <w:style w:type="paragraph" w:customStyle="1" w:styleId="Style1">
    <w:name w:val="Style1"/>
    <w:basedOn w:val="Normal"/>
    <w:uiPriority w:val="99"/>
    <w:rsid w:val="00A341F8"/>
    <w:pPr>
      <w:widowControl w:val="0"/>
      <w:autoSpaceDE w:val="0"/>
      <w:autoSpaceDN w:val="0"/>
      <w:adjustRightInd w:val="0"/>
      <w:spacing w:line="317" w:lineRule="exact"/>
      <w:jc w:val="both"/>
    </w:pPr>
    <w:rPr>
      <w:rFonts w:eastAsiaTheme="minorEastAsia"/>
      <w:lang w:eastAsia="lv-LV"/>
    </w:rPr>
  </w:style>
  <w:style w:type="character" w:customStyle="1" w:styleId="FontStyle12">
    <w:name w:val="Font Style12"/>
    <w:basedOn w:val="DefaultParagraphFont"/>
    <w:uiPriority w:val="99"/>
    <w:rsid w:val="00A341F8"/>
    <w:rPr>
      <w:rFonts w:ascii="Times New Roman" w:hAnsi="Times New Roman" w:cs="Times New Roman"/>
      <w:sz w:val="22"/>
      <w:szCs w:val="22"/>
    </w:rPr>
  </w:style>
  <w:style w:type="paragraph" w:customStyle="1" w:styleId="Style2">
    <w:name w:val="Style2"/>
    <w:basedOn w:val="Normal"/>
    <w:uiPriority w:val="99"/>
    <w:rsid w:val="00A341F8"/>
    <w:pPr>
      <w:widowControl w:val="0"/>
      <w:autoSpaceDE w:val="0"/>
      <w:autoSpaceDN w:val="0"/>
      <w:adjustRightInd w:val="0"/>
      <w:spacing w:line="317" w:lineRule="exact"/>
      <w:jc w:val="both"/>
    </w:pPr>
    <w:rPr>
      <w:rFonts w:eastAsiaTheme="minorEastAsia"/>
      <w:lang w:eastAsia="lv-LV"/>
    </w:rPr>
  </w:style>
  <w:style w:type="character" w:customStyle="1" w:styleId="FontStyle16">
    <w:name w:val="Font Style16"/>
    <w:basedOn w:val="DefaultParagraphFont"/>
    <w:uiPriority w:val="99"/>
    <w:rsid w:val="00AC573F"/>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81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72811"/>
    <w:pPr>
      <w:keepNext/>
      <w:jc w:val="center"/>
      <w:outlineLvl w:val="0"/>
    </w:pPr>
    <w:rPr>
      <w:sz w:val="28"/>
    </w:rPr>
  </w:style>
  <w:style w:type="paragraph" w:styleId="Heading2">
    <w:name w:val="heading 2"/>
    <w:basedOn w:val="Normal"/>
    <w:next w:val="Normal"/>
    <w:link w:val="Heading2Char"/>
    <w:semiHidden/>
    <w:unhideWhenUsed/>
    <w:qFormat/>
    <w:rsid w:val="00272811"/>
    <w:pPr>
      <w:keepNext/>
      <w:jc w:val="both"/>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2811"/>
    <w:rPr>
      <w:rFonts w:ascii="Times New Roman" w:eastAsia="Times New Roman" w:hAnsi="Times New Roman" w:cs="Times New Roman"/>
      <w:sz w:val="28"/>
      <w:szCs w:val="24"/>
    </w:rPr>
  </w:style>
  <w:style w:type="character" w:customStyle="1" w:styleId="Heading2Char">
    <w:name w:val="Heading 2 Char"/>
    <w:basedOn w:val="DefaultParagraphFont"/>
    <w:link w:val="Heading2"/>
    <w:semiHidden/>
    <w:rsid w:val="00272811"/>
    <w:rPr>
      <w:rFonts w:ascii="Times New Roman" w:eastAsia="Times New Roman" w:hAnsi="Times New Roman" w:cs="Times New Roman"/>
      <w:sz w:val="28"/>
      <w:szCs w:val="24"/>
    </w:rPr>
  </w:style>
  <w:style w:type="character" w:customStyle="1" w:styleId="Normal14ptChar">
    <w:name w:val="Normal + 14 pt Char"/>
    <w:aliases w:val="Bold Char"/>
    <w:link w:val="Normal14pt"/>
    <w:locked/>
    <w:rsid w:val="00272811"/>
    <w:rPr>
      <w:b/>
      <w:sz w:val="28"/>
      <w:szCs w:val="28"/>
    </w:rPr>
  </w:style>
  <w:style w:type="paragraph" w:customStyle="1" w:styleId="Normal14pt">
    <w:name w:val="Normal + 14 pt"/>
    <w:aliases w:val="Bold"/>
    <w:basedOn w:val="Normal"/>
    <w:link w:val="Normal14ptChar"/>
    <w:rsid w:val="00272811"/>
    <w:pPr>
      <w:jc w:val="center"/>
    </w:pPr>
    <w:rPr>
      <w:rFonts w:asciiTheme="minorHAnsi" w:eastAsiaTheme="minorHAnsi" w:hAnsiTheme="minorHAnsi" w:cstheme="minorBidi"/>
      <w:b/>
      <w:sz w:val="28"/>
      <w:szCs w:val="28"/>
    </w:rPr>
  </w:style>
  <w:style w:type="character" w:styleId="Hyperlink">
    <w:name w:val="Hyperlink"/>
    <w:basedOn w:val="DefaultParagraphFont"/>
    <w:uiPriority w:val="99"/>
    <w:unhideWhenUsed/>
    <w:rsid w:val="0045036C"/>
    <w:rPr>
      <w:color w:val="0000FF" w:themeColor="hyperlink"/>
      <w:u w:val="single"/>
    </w:rPr>
  </w:style>
  <w:style w:type="paragraph" w:styleId="ListParagraph">
    <w:name w:val="List Paragraph"/>
    <w:basedOn w:val="Normal"/>
    <w:uiPriority w:val="34"/>
    <w:qFormat/>
    <w:rsid w:val="00BF4D19"/>
    <w:pPr>
      <w:ind w:left="720"/>
      <w:contextualSpacing/>
    </w:pPr>
  </w:style>
  <w:style w:type="table" w:styleId="TableGrid">
    <w:name w:val="Table Grid"/>
    <w:basedOn w:val="TableNormal"/>
    <w:uiPriority w:val="59"/>
    <w:rsid w:val="000641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974831"/>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74831"/>
    <w:rPr>
      <w:sz w:val="20"/>
      <w:szCs w:val="20"/>
    </w:rPr>
  </w:style>
  <w:style w:type="character" w:styleId="CommentReference">
    <w:name w:val="annotation reference"/>
    <w:basedOn w:val="DefaultParagraphFont"/>
    <w:uiPriority w:val="99"/>
    <w:semiHidden/>
    <w:unhideWhenUsed/>
    <w:rsid w:val="00974831"/>
    <w:rPr>
      <w:sz w:val="16"/>
      <w:szCs w:val="16"/>
    </w:rPr>
  </w:style>
  <w:style w:type="paragraph" w:styleId="BalloonText">
    <w:name w:val="Balloon Text"/>
    <w:basedOn w:val="Normal"/>
    <w:link w:val="BalloonTextChar"/>
    <w:uiPriority w:val="99"/>
    <w:semiHidden/>
    <w:unhideWhenUsed/>
    <w:rsid w:val="00974831"/>
    <w:rPr>
      <w:rFonts w:ascii="Tahoma" w:hAnsi="Tahoma" w:cs="Tahoma"/>
      <w:sz w:val="16"/>
      <w:szCs w:val="16"/>
    </w:rPr>
  </w:style>
  <w:style w:type="character" w:customStyle="1" w:styleId="BalloonTextChar">
    <w:name w:val="Balloon Text Char"/>
    <w:basedOn w:val="DefaultParagraphFont"/>
    <w:link w:val="BalloonText"/>
    <w:uiPriority w:val="99"/>
    <w:semiHidden/>
    <w:rsid w:val="00974831"/>
    <w:rPr>
      <w:rFonts w:ascii="Tahoma" w:eastAsia="Times New Roman" w:hAnsi="Tahoma" w:cs="Tahoma"/>
      <w:sz w:val="16"/>
      <w:szCs w:val="16"/>
    </w:rPr>
  </w:style>
  <w:style w:type="paragraph" w:customStyle="1" w:styleId="Style8">
    <w:name w:val="Style8"/>
    <w:basedOn w:val="Normal"/>
    <w:uiPriority w:val="99"/>
    <w:rsid w:val="002A4B8E"/>
    <w:pPr>
      <w:widowControl w:val="0"/>
      <w:autoSpaceDE w:val="0"/>
      <w:autoSpaceDN w:val="0"/>
      <w:adjustRightInd w:val="0"/>
      <w:spacing w:line="398" w:lineRule="exact"/>
      <w:jc w:val="both"/>
    </w:pPr>
    <w:rPr>
      <w:rFonts w:ascii="Trebuchet MS" w:eastAsiaTheme="minorEastAsia" w:hAnsi="Trebuchet MS" w:cstheme="minorBidi"/>
      <w:lang w:eastAsia="lv-LV"/>
    </w:rPr>
  </w:style>
  <w:style w:type="paragraph" w:customStyle="1" w:styleId="Style10">
    <w:name w:val="Style10"/>
    <w:basedOn w:val="Normal"/>
    <w:uiPriority w:val="99"/>
    <w:rsid w:val="002A4B8E"/>
    <w:pPr>
      <w:widowControl w:val="0"/>
      <w:autoSpaceDE w:val="0"/>
      <w:autoSpaceDN w:val="0"/>
      <w:adjustRightInd w:val="0"/>
      <w:spacing w:line="389" w:lineRule="exact"/>
      <w:jc w:val="both"/>
    </w:pPr>
    <w:rPr>
      <w:rFonts w:ascii="Trebuchet MS" w:eastAsiaTheme="minorEastAsia" w:hAnsi="Trebuchet MS" w:cstheme="minorBidi"/>
      <w:lang w:eastAsia="lv-LV"/>
    </w:rPr>
  </w:style>
  <w:style w:type="character" w:customStyle="1" w:styleId="FontStyle14">
    <w:name w:val="Font Style14"/>
    <w:basedOn w:val="DefaultParagraphFont"/>
    <w:uiPriority w:val="99"/>
    <w:rsid w:val="002A4B8E"/>
    <w:rPr>
      <w:rFonts w:ascii="Times New Roman" w:hAnsi="Times New Roman" w:cs="Times New Roman"/>
      <w:b/>
      <w:bCs/>
      <w:sz w:val="20"/>
      <w:szCs w:val="20"/>
    </w:rPr>
  </w:style>
  <w:style w:type="character" w:customStyle="1" w:styleId="FontStyle15">
    <w:name w:val="Font Style15"/>
    <w:basedOn w:val="DefaultParagraphFont"/>
    <w:uiPriority w:val="99"/>
    <w:rsid w:val="002A4B8E"/>
    <w:rPr>
      <w:rFonts w:ascii="Times New Roman" w:hAnsi="Times New Roman" w:cs="Times New Roman"/>
      <w:i/>
      <w:iCs/>
      <w:sz w:val="20"/>
      <w:szCs w:val="20"/>
    </w:rPr>
  </w:style>
  <w:style w:type="character" w:customStyle="1" w:styleId="FontStyle17">
    <w:name w:val="Font Style17"/>
    <w:basedOn w:val="DefaultParagraphFont"/>
    <w:uiPriority w:val="99"/>
    <w:rsid w:val="002A4B8E"/>
    <w:rPr>
      <w:rFonts w:ascii="Times New Roman" w:hAnsi="Times New Roman" w:cs="Times New Roman"/>
      <w:sz w:val="20"/>
      <w:szCs w:val="20"/>
    </w:rPr>
  </w:style>
  <w:style w:type="character" w:customStyle="1" w:styleId="FontStyle18">
    <w:name w:val="Font Style18"/>
    <w:basedOn w:val="DefaultParagraphFont"/>
    <w:uiPriority w:val="99"/>
    <w:rsid w:val="002A4B8E"/>
    <w:rPr>
      <w:rFonts w:ascii="Times New Roman" w:hAnsi="Times New Roman" w:cs="Times New Roman"/>
      <w:i/>
      <w:iCs/>
      <w:spacing w:val="-10"/>
      <w:sz w:val="32"/>
      <w:szCs w:val="32"/>
    </w:rPr>
  </w:style>
  <w:style w:type="paragraph" w:customStyle="1" w:styleId="Style1">
    <w:name w:val="Style1"/>
    <w:basedOn w:val="Normal"/>
    <w:uiPriority w:val="99"/>
    <w:rsid w:val="00A341F8"/>
    <w:pPr>
      <w:widowControl w:val="0"/>
      <w:autoSpaceDE w:val="0"/>
      <w:autoSpaceDN w:val="0"/>
      <w:adjustRightInd w:val="0"/>
      <w:spacing w:line="317" w:lineRule="exact"/>
      <w:jc w:val="both"/>
    </w:pPr>
    <w:rPr>
      <w:rFonts w:eastAsiaTheme="minorEastAsia"/>
      <w:lang w:eastAsia="lv-LV"/>
    </w:rPr>
  </w:style>
  <w:style w:type="character" w:customStyle="1" w:styleId="FontStyle12">
    <w:name w:val="Font Style12"/>
    <w:basedOn w:val="DefaultParagraphFont"/>
    <w:uiPriority w:val="99"/>
    <w:rsid w:val="00A341F8"/>
    <w:rPr>
      <w:rFonts w:ascii="Times New Roman" w:hAnsi="Times New Roman" w:cs="Times New Roman"/>
      <w:sz w:val="22"/>
      <w:szCs w:val="22"/>
    </w:rPr>
  </w:style>
  <w:style w:type="paragraph" w:customStyle="1" w:styleId="Style2">
    <w:name w:val="Style2"/>
    <w:basedOn w:val="Normal"/>
    <w:uiPriority w:val="99"/>
    <w:rsid w:val="00A341F8"/>
    <w:pPr>
      <w:widowControl w:val="0"/>
      <w:autoSpaceDE w:val="0"/>
      <w:autoSpaceDN w:val="0"/>
      <w:adjustRightInd w:val="0"/>
      <w:spacing w:line="317" w:lineRule="exact"/>
      <w:jc w:val="both"/>
    </w:pPr>
    <w:rPr>
      <w:rFonts w:eastAsiaTheme="minorEastAsia"/>
      <w:lang w:eastAsia="lv-LV"/>
    </w:rPr>
  </w:style>
  <w:style w:type="character" w:customStyle="1" w:styleId="FontStyle16">
    <w:name w:val="Font Style16"/>
    <w:basedOn w:val="DefaultParagraphFont"/>
    <w:uiPriority w:val="99"/>
    <w:rsid w:val="00AC573F"/>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572085">
      <w:bodyDiv w:val="1"/>
      <w:marLeft w:val="0"/>
      <w:marRight w:val="0"/>
      <w:marTop w:val="0"/>
      <w:marBottom w:val="0"/>
      <w:divBdr>
        <w:top w:val="none" w:sz="0" w:space="0" w:color="auto"/>
        <w:left w:val="none" w:sz="0" w:space="0" w:color="auto"/>
        <w:bottom w:val="none" w:sz="0" w:space="0" w:color="auto"/>
        <w:right w:val="none" w:sz="0" w:space="0" w:color="auto"/>
      </w:divBdr>
    </w:div>
    <w:div w:id="1077821347">
      <w:bodyDiv w:val="1"/>
      <w:marLeft w:val="0"/>
      <w:marRight w:val="0"/>
      <w:marTop w:val="0"/>
      <w:marBottom w:val="0"/>
      <w:divBdr>
        <w:top w:val="none" w:sz="0" w:space="0" w:color="auto"/>
        <w:left w:val="none" w:sz="0" w:space="0" w:color="auto"/>
        <w:bottom w:val="none" w:sz="0" w:space="0" w:color="auto"/>
        <w:right w:val="none" w:sz="0" w:space="0" w:color="auto"/>
      </w:divBdr>
    </w:div>
    <w:div w:id="1419327619">
      <w:bodyDiv w:val="1"/>
      <w:marLeft w:val="0"/>
      <w:marRight w:val="0"/>
      <w:marTop w:val="0"/>
      <w:marBottom w:val="0"/>
      <w:divBdr>
        <w:top w:val="none" w:sz="0" w:space="0" w:color="auto"/>
        <w:left w:val="none" w:sz="0" w:space="0" w:color="auto"/>
        <w:bottom w:val="none" w:sz="0" w:space="0" w:color="auto"/>
        <w:right w:val="none" w:sz="0" w:space="0" w:color="auto"/>
      </w:divBdr>
    </w:div>
    <w:div w:id="1587956030">
      <w:bodyDiv w:val="1"/>
      <w:marLeft w:val="0"/>
      <w:marRight w:val="0"/>
      <w:marTop w:val="0"/>
      <w:marBottom w:val="0"/>
      <w:divBdr>
        <w:top w:val="none" w:sz="0" w:space="0" w:color="auto"/>
        <w:left w:val="none" w:sz="0" w:space="0" w:color="auto"/>
        <w:bottom w:val="none" w:sz="0" w:space="0" w:color="auto"/>
        <w:right w:val="none" w:sz="0" w:space="0" w:color="auto"/>
      </w:divBdr>
    </w:div>
    <w:div w:id="174961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ub.gov.lv/lv/iubsearch/q/projekt%C4%93%C5%A1ana%20un%20b%C5%ABvniec%C4%ABba/pt/_pp/cn/VAS%20%22Latvijas%20valsts%20radio%20un%20telev%C4%ABzijas%20centrs%22/" TargetMode="External"/><Relationship Id="rId3" Type="http://schemas.microsoft.com/office/2007/relationships/stylesWithEffects" Target="stylesWithEffects.xml"/><Relationship Id="rId7" Type="http://schemas.openxmlformats.org/officeDocument/2006/relationships/hyperlink" Target="http://pvs.iub.gov.lv/show/34932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vs.iub.gov.lv/show/18562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iub.gov.lv/lv/iubsearch/q/projekt%C4%93%C5%A1ana%20un%20b%C5%ABvniec%C4%ABba/pt/_pp/cn/R%C4%ABgas%20domes%20Satiksmes%20departaments/" TargetMode="External"/><Relationship Id="rId4" Type="http://schemas.openxmlformats.org/officeDocument/2006/relationships/settings" Target="settings.xml"/><Relationship Id="rId9" Type="http://schemas.openxmlformats.org/officeDocument/2006/relationships/hyperlink" Target="http://pvs.iub.gov.lv/show/1965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4</Pages>
  <Words>6089</Words>
  <Characters>3472</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Šteina</dc:creator>
  <cp:keywords/>
  <dc:description/>
  <cp:lastModifiedBy>Rita Šteina</cp:lastModifiedBy>
  <cp:revision>128</cp:revision>
  <cp:lastPrinted>2016-05-24T11:05:00Z</cp:lastPrinted>
  <dcterms:created xsi:type="dcterms:W3CDTF">2015-03-19T13:27:00Z</dcterms:created>
  <dcterms:modified xsi:type="dcterms:W3CDTF">2016-05-31T13:52:00Z</dcterms:modified>
</cp:coreProperties>
</file>