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B81490">
      <w:pPr>
        <w:shd w:val="clear" w:color="auto" w:fill="D6E3BC" w:themeFill="accent3" w:themeFillTint="66"/>
        <w:jc w:val="center"/>
        <w:rPr>
          <w:b/>
        </w:rPr>
      </w:pPr>
      <w:r>
        <w:rPr>
          <w:b/>
        </w:rPr>
        <w:t>Ādažu novada domes</w:t>
      </w:r>
    </w:p>
    <w:p w:rsidR="00272811" w:rsidRDefault="00272811" w:rsidP="00B81490">
      <w:pPr>
        <w:shd w:val="clear" w:color="auto" w:fill="D6E3BC" w:themeFill="accent3" w:themeFillTint="66"/>
        <w:jc w:val="center"/>
        <w:rPr>
          <w:b/>
        </w:rPr>
      </w:pPr>
      <w:r>
        <w:rPr>
          <w:b/>
        </w:rPr>
        <w:t>iepirkuma</w:t>
      </w:r>
    </w:p>
    <w:p w:rsidR="00272811" w:rsidRDefault="00272811" w:rsidP="00B81490">
      <w:pPr>
        <w:shd w:val="clear" w:color="auto" w:fill="D6E3BC" w:themeFill="accent3" w:themeFillTint="66"/>
        <w:jc w:val="center"/>
        <w:rPr>
          <w:b/>
          <w:sz w:val="8"/>
          <w:szCs w:val="8"/>
        </w:rPr>
      </w:pPr>
    </w:p>
    <w:p w:rsidR="00272811" w:rsidRDefault="00272811" w:rsidP="00B81490">
      <w:pPr>
        <w:shd w:val="clear" w:color="auto" w:fill="D6E3BC" w:themeFill="accent3" w:themeFillTint="66"/>
        <w:jc w:val="center"/>
        <w:rPr>
          <w:b/>
          <w:sz w:val="28"/>
          <w:szCs w:val="28"/>
        </w:rPr>
      </w:pPr>
      <w:r>
        <w:rPr>
          <w:b/>
          <w:sz w:val="28"/>
          <w:szCs w:val="28"/>
        </w:rPr>
        <w:t>„</w:t>
      </w:r>
      <w:r w:rsidR="00F4642A" w:rsidRPr="00F4642A">
        <w:rPr>
          <w:b/>
          <w:sz w:val="28"/>
          <w:szCs w:val="28"/>
        </w:rPr>
        <w:t>Ēdināšanas</w:t>
      </w:r>
      <w:r w:rsidR="00C9257E">
        <w:rPr>
          <w:b/>
          <w:sz w:val="28"/>
          <w:szCs w:val="28"/>
        </w:rPr>
        <w:t xml:space="preserve"> pakalpojumu nodrošināšana Kadagas</w:t>
      </w:r>
      <w:r w:rsidR="00F4642A" w:rsidRPr="00F4642A">
        <w:rPr>
          <w:b/>
          <w:sz w:val="28"/>
          <w:szCs w:val="28"/>
        </w:rPr>
        <w:t xml:space="preserve"> pirmsskolas izglītības iestāde</w:t>
      </w:r>
      <w:r>
        <w:rPr>
          <w:b/>
          <w:sz w:val="28"/>
          <w:szCs w:val="28"/>
        </w:rPr>
        <w:t>”</w:t>
      </w:r>
    </w:p>
    <w:p w:rsidR="00272811" w:rsidRDefault="006C2C11" w:rsidP="00B81490">
      <w:pPr>
        <w:shd w:val="clear" w:color="auto" w:fill="D6E3BC" w:themeFill="accent3" w:themeFillTint="66"/>
        <w:jc w:val="center"/>
        <w:rPr>
          <w:b/>
          <w:sz w:val="28"/>
          <w:szCs w:val="28"/>
        </w:rPr>
      </w:pPr>
      <w:r>
        <w:rPr>
          <w:b/>
          <w:sz w:val="28"/>
          <w:szCs w:val="28"/>
        </w:rPr>
        <w:t>(ID.Nr. ĀND 2016/65</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6C2C11">
        <w:rPr>
          <w:b/>
        </w:rPr>
        <w:t xml:space="preserve"> Nr.05-30-2016/65</w:t>
      </w:r>
      <w:r w:rsidR="006B2C5B">
        <w:rPr>
          <w:b/>
        </w:rPr>
        <w:t>-</w:t>
      </w:r>
      <w:r w:rsidR="006852D4">
        <w:rPr>
          <w:b/>
        </w:rPr>
        <w:t>2</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4F6114" w:rsidP="004F6114">
            <w:pPr>
              <w:jc w:val="center"/>
            </w:pPr>
            <w:r>
              <w:rPr>
                <w:b/>
              </w:rPr>
              <w:t xml:space="preserve">                  </w:t>
            </w:r>
            <w:bookmarkStart w:id="0" w:name="_GoBack"/>
            <w:bookmarkEnd w:id="0"/>
            <w:r w:rsidR="006208C5">
              <w:rPr>
                <w:b/>
              </w:rPr>
              <w:t>2016</w:t>
            </w:r>
            <w:r w:rsidR="002716BB">
              <w:rPr>
                <w:b/>
              </w:rPr>
              <w:t xml:space="preserve">. gada </w:t>
            </w:r>
            <w:r w:rsidR="009A1D8F">
              <w:rPr>
                <w:b/>
              </w:rPr>
              <w:t>22</w:t>
            </w:r>
            <w:r w:rsidR="00E15504">
              <w:rPr>
                <w:b/>
              </w:rPr>
              <w:t>.aprīlī</w:t>
            </w:r>
          </w:p>
        </w:tc>
      </w:tr>
    </w:tbl>
    <w:p w:rsidR="00272811" w:rsidRDefault="00272811" w:rsidP="00272811">
      <w:pPr>
        <w:rPr>
          <w:b/>
          <w:bCs/>
        </w:rPr>
      </w:pPr>
      <w:r>
        <w:tab/>
      </w:r>
      <w:r>
        <w:tab/>
      </w:r>
      <w:r>
        <w:tab/>
      </w:r>
      <w:r>
        <w:tab/>
      </w:r>
      <w:r>
        <w:tab/>
      </w:r>
      <w:r>
        <w:tab/>
      </w:r>
      <w:r>
        <w:tab/>
      </w:r>
      <w:r>
        <w:tab/>
      </w:r>
      <w:r>
        <w:tab/>
        <w:t xml:space="preserve">          </w:t>
      </w:r>
    </w:p>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priekšsēdētājs atklāj sēdi</w:t>
      </w:r>
      <w:r w:rsidR="00E15504">
        <w:rPr>
          <w:sz w:val="24"/>
        </w:rPr>
        <w:t xml:space="preserve"> plkst. 10</w:t>
      </w:r>
      <w:r>
        <w:rPr>
          <w:sz w:val="24"/>
        </w:rPr>
        <w:t>.00.</w:t>
      </w:r>
    </w:p>
    <w:p w:rsidR="00272811" w:rsidRDefault="00272811" w:rsidP="00272811">
      <w:pPr>
        <w:jc w:val="both"/>
        <w:rPr>
          <w:b/>
          <w:bCs/>
        </w:rPr>
      </w:pP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272811" w:rsidTr="00272811">
        <w:tc>
          <w:tcPr>
            <w:tcW w:w="3060" w:type="dxa"/>
          </w:tcPr>
          <w:p w:rsidR="00272811" w:rsidRDefault="00272811">
            <w:pPr>
              <w:ind w:left="72" w:right="-694"/>
              <w:jc w:val="both"/>
            </w:pPr>
            <w:r>
              <w:t xml:space="preserve">Komisijas priekšsēdētājs: </w:t>
            </w:r>
          </w:p>
          <w:p w:rsidR="00272811" w:rsidRDefault="00272811">
            <w:pPr>
              <w:ind w:left="72" w:right="-694"/>
              <w:jc w:val="both"/>
            </w:pPr>
            <w:r>
              <w:t>Komisijas locekļi:</w:t>
            </w:r>
          </w:p>
          <w:p w:rsidR="00272811" w:rsidRDefault="00272811">
            <w:pPr>
              <w:ind w:left="72" w:right="-694"/>
              <w:jc w:val="both"/>
            </w:pPr>
          </w:p>
          <w:p w:rsidR="00272811" w:rsidRDefault="00272811">
            <w:pPr>
              <w:ind w:left="72" w:right="-694"/>
              <w:jc w:val="both"/>
            </w:pPr>
          </w:p>
          <w:p w:rsidR="00272811" w:rsidRDefault="00272811">
            <w:pPr>
              <w:ind w:left="72" w:right="-694"/>
              <w:jc w:val="both"/>
            </w:pPr>
          </w:p>
        </w:tc>
        <w:tc>
          <w:tcPr>
            <w:tcW w:w="4680" w:type="dxa"/>
            <w:hideMark/>
          </w:tcPr>
          <w:p w:rsidR="006B68BA" w:rsidRDefault="00272811" w:rsidP="00C93910">
            <w:pPr>
              <w:ind w:right="-694"/>
              <w:jc w:val="both"/>
            </w:pPr>
            <w:r>
              <w:t>Artis Brūvers</w:t>
            </w:r>
          </w:p>
          <w:p w:rsidR="00E33CFC" w:rsidRDefault="00E33CFC">
            <w:pPr>
              <w:jc w:val="both"/>
            </w:pPr>
            <w:r>
              <w:t>Rita Šteina</w:t>
            </w:r>
          </w:p>
          <w:p w:rsidR="005D66B5" w:rsidRDefault="005D66B5">
            <w:pPr>
              <w:jc w:val="both"/>
            </w:pPr>
            <w:r>
              <w:t>Halfors Krasts</w:t>
            </w:r>
          </w:p>
          <w:p w:rsidR="00BE502E" w:rsidRDefault="00BE502E">
            <w:pPr>
              <w:jc w:val="both"/>
            </w:pPr>
            <w:r>
              <w:t>Uģis Dambis</w:t>
            </w:r>
          </w:p>
          <w:p w:rsidR="00E33CFC" w:rsidRDefault="00E33CFC">
            <w:pPr>
              <w:jc w:val="both"/>
            </w:pPr>
            <w:r>
              <w:t>Valērijs Bulāns</w:t>
            </w:r>
          </w:p>
          <w:p w:rsidR="00272811" w:rsidRDefault="009A1D8F" w:rsidP="00C93910">
            <w:pPr>
              <w:jc w:val="both"/>
            </w:pPr>
            <w:r>
              <w:t>Everita Kāpa</w:t>
            </w:r>
          </w:p>
        </w:tc>
      </w:tr>
    </w:tbl>
    <w:p w:rsidR="00272811" w:rsidRDefault="00272811" w:rsidP="00272811">
      <w:pPr>
        <w:rPr>
          <w:b/>
        </w:rPr>
      </w:pPr>
      <w:r>
        <w:rPr>
          <w:b/>
        </w:rPr>
        <w:t xml:space="preserve">Komisijas izveides pamats: </w:t>
      </w:r>
    </w:p>
    <w:p w:rsidR="00272811" w:rsidRDefault="00272811" w:rsidP="00BF4D19">
      <w:pPr>
        <w:ind w:left="567" w:right="26"/>
        <w:jc w:val="both"/>
        <w:rPr>
          <w:color w:val="FF0000"/>
        </w:rPr>
      </w:pPr>
      <w:r>
        <w:t xml:space="preserve">Ādažu novada domes 2013.gada 24.septembra </w:t>
      </w:r>
      <w:smartTag w:uri="schemas-tilde-lv/tildestengine" w:element="veidnes">
        <w:smartTagPr>
          <w:attr w:name="text" w:val="lēmums"/>
          <w:attr w:name="baseform" w:val="lēmums"/>
          <w:attr w:name="id" w:val="-1"/>
        </w:smartTagPr>
        <w:r>
          <w:t>lēmums</w:t>
        </w:r>
      </w:smartTag>
      <w:r w:rsidR="000641DF">
        <w:t xml:space="preserve"> Nr. 215</w:t>
      </w:r>
      <w:r>
        <w:t xml:space="preserve"> un Ādažu novada domes 2014.gada 28.jūlija ārkārtas domes sēdes lēmums Nr. 17§ 2.</w:t>
      </w:r>
    </w:p>
    <w:p w:rsidR="00272811" w:rsidRDefault="00272811" w:rsidP="00272811">
      <w:pPr>
        <w:jc w:val="both"/>
        <w:rPr>
          <w:b/>
          <w:bCs/>
        </w:rPr>
      </w:pPr>
    </w:p>
    <w:p w:rsidR="00272811" w:rsidRDefault="00272811" w:rsidP="00272811">
      <w:pPr>
        <w:jc w:val="both"/>
      </w:pPr>
      <w:r>
        <w:rPr>
          <w:b/>
          <w:bCs/>
        </w:rPr>
        <w:t>Darba kārtībā:</w:t>
      </w:r>
    </w:p>
    <w:p w:rsidR="00272811" w:rsidRDefault="00BF4D19" w:rsidP="00BF4D19">
      <w:pPr>
        <w:tabs>
          <w:tab w:val="left" w:pos="993"/>
        </w:tabs>
        <w:ind w:left="567"/>
        <w:jc w:val="both"/>
        <w:rPr>
          <w:b/>
        </w:rPr>
      </w:pPr>
      <w:r>
        <w:t>Skaidrojumu sniegšana par i</w:t>
      </w:r>
      <w:r w:rsidR="00272811">
        <w:t xml:space="preserve">epirkuma </w:t>
      </w:r>
      <w:r w:rsidR="00272811" w:rsidRPr="00E77527">
        <w:t>„</w:t>
      </w:r>
      <w:r w:rsidR="00F4642A" w:rsidRPr="00F4642A">
        <w:t>Ēdināšanas</w:t>
      </w:r>
      <w:r w:rsidR="00C9257E">
        <w:t xml:space="preserve"> pakalpojumu nodrošināšana Kadagas</w:t>
      </w:r>
      <w:r w:rsidR="00F4642A" w:rsidRPr="00F4642A">
        <w:t xml:space="preserve"> pirmsskolas izglītības iestāde</w:t>
      </w:r>
      <w:r w:rsidR="006B68BA" w:rsidRPr="00E77527">
        <w:t>”</w:t>
      </w:r>
      <w:r w:rsidR="00E77527">
        <w:t xml:space="preserve"> </w:t>
      </w:r>
      <w:r w:rsidR="006208C5">
        <w:t>(ID.Nr.: ĀND 2016</w:t>
      </w:r>
      <w:r w:rsidR="006B68BA">
        <w:t>/</w:t>
      </w:r>
      <w:r w:rsidR="006C2C11">
        <w:t>65</w:t>
      </w:r>
      <w:r w:rsidR="00272811">
        <w:t xml:space="preserve">) </w:t>
      </w:r>
      <w:r>
        <w:t>nolikumu</w:t>
      </w:r>
      <w:r w:rsidR="00272811">
        <w:t>.</w:t>
      </w:r>
    </w:p>
    <w:p w:rsidR="00272811" w:rsidRDefault="00272811" w:rsidP="00272811">
      <w:pPr>
        <w:tabs>
          <w:tab w:val="num" w:pos="284"/>
        </w:tabs>
        <w:ind w:left="284" w:hanging="284"/>
        <w:jc w:val="both"/>
      </w:pPr>
    </w:p>
    <w:p w:rsidR="00272811" w:rsidRDefault="00272811" w:rsidP="00272811">
      <w:pPr>
        <w:jc w:val="both"/>
        <w:rPr>
          <w:b/>
        </w:rPr>
      </w:pPr>
      <w:r>
        <w:rPr>
          <w:b/>
        </w:rPr>
        <w:t>Darba gaita:</w:t>
      </w:r>
    </w:p>
    <w:p w:rsidR="000641DF" w:rsidRDefault="000641DF" w:rsidP="00BF4D19">
      <w:pPr>
        <w:pStyle w:val="ListParagraph"/>
        <w:numPr>
          <w:ilvl w:val="0"/>
          <w:numId w:val="3"/>
        </w:numPr>
        <w:ind w:left="567" w:hanging="567"/>
        <w:jc w:val="both"/>
      </w:pPr>
      <w:r>
        <w:t>E.Kāpa paraksta apliecinājumu par neieinteresētību, jo nepiedalījās iepirkuma izsludināšanas sēdē.</w:t>
      </w:r>
    </w:p>
    <w:p w:rsidR="000641DF" w:rsidRDefault="00E33CFC" w:rsidP="00BF4D19">
      <w:pPr>
        <w:pStyle w:val="ListParagraph"/>
        <w:numPr>
          <w:ilvl w:val="0"/>
          <w:numId w:val="3"/>
        </w:numPr>
        <w:ind w:left="567" w:hanging="567"/>
        <w:jc w:val="both"/>
      </w:pPr>
      <w:r>
        <w:t>R. Šteina</w:t>
      </w:r>
      <w:r w:rsidR="00272811">
        <w:t xml:space="preserve"> </w:t>
      </w:r>
      <w:r w:rsidR="000641DF">
        <w:t xml:space="preserve">ziņo par ieinteresēto pretendentu sagatavotajiem jautājumiem par </w:t>
      </w:r>
      <w:r w:rsidR="00272811">
        <w:t xml:space="preserve">iepirkuma </w:t>
      </w:r>
      <w:r w:rsidR="00C9257E" w:rsidRPr="00E77527">
        <w:t>„</w:t>
      </w:r>
      <w:r w:rsidR="00C9257E" w:rsidRPr="00F4642A">
        <w:t>Ēdināšanas</w:t>
      </w:r>
      <w:r w:rsidR="00C9257E">
        <w:t xml:space="preserve"> pakalpojumu nodrošināšana Kadagas</w:t>
      </w:r>
      <w:r w:rsidR="00C9257E" w:rsidRPr="00F4642A">
        <w:t xml:space="preserve"> pirmsskolas izglītības iestāde</w:t>
      </w:r>
      <w:r w:rsidR="00C9257E" w:rsidRPr="00E77527">
        <w:t>”</w:t>
      </w:r>
      <w:r w:rsidR="00C9257E">
        <w:t xml:space="preserve"> (ID.Nr.: ĀND 2016/</w:t>
      </w:r>
      <w:r w:rsidR="006C2C11">
        <w:t>65</w:t>
      </w:r>
      <w:r w:rsidR="00C9257E">
        <w:t>)</w:t>
      </w:r>
      <w:r w:rsidR="00863C22">
        <w:t xml:space="preserve"> </w:t>
      </w:r>
      <w:r w:rsidR="00272811">
        <w:t>nolikum</w:t>
      </w:r>
      <w:r w:rsidR="000641DF">
        <w:t>u.</w:t>
      </w:r>
    </w:p>
    <w:p w:rsidR="00272811" w:rsidRDefault="000641DF" w:rsidP="00BF4D19">
      <w:pPr>
        <w:pStyle w:val="ListParagraph"/>
        <w:numPr>
          <w:ilvl w:val="0"/>
          <w:numId w:val="3"/>
        </w:numPr>
        <w:ind w:left="567" w:hanging="567"/>
        <w:jc w:val="both"/>
      </w:pPr>
      <w:r>
        <w:t>Komisija iepazīstas ar uzdotajiem jautājumiem un lemj par sniedzamajām atbildēm</w:t>
      </w:r>
      <w:r w:rsidR="00272811">
        <w:t>.</w:t>
      </w:r>
    </w:p>
    <w:p w:rsidR="000641DF" w:rsidRDefault="000641DF" w:rsidP="00BF4D19">
      <w:pPr>
        <w:pStyle w:val="ListParagraph"/>
        <w:numPr>
          <w:ilvl w:val="0"/>
          <w:numId w:val="3"/>
        </w:numPr>
        <w:ind w:left="567" w:hanging="567"/>
        <w:jc w:val="both"/>
      </w:pPr>
      <w:r>
        <w:t>Komisija lemj apstiprināt šādas atbildes:</w:t>
      </w:r>
    </w:p>
    <w:p w:rsidR="000641DF" w:rsidRDefault="000641DF" w:rsidP="000641DF">
      <w:pPr>
        <w:pStyle w:val="ListParagraph"/>
        <w:ind w:left="567"/>
        <w:jc w:val="both"/>
      </w:pPr>
    </w:p>
    <w:tbl>
      <w:tblPr>
        <w:tblStyle w:val="TableGrid"/>
        <w:tblW w:w="9498" w:type="dxa"/>
        <w:tblInd w:w="-459" w:type="dxa"/>
        <w:tblLook w:val="04A0" w:firstRow="1" w:lastRow="0" w:firstColumn="1" w:lastColumn="0" w:noHBand="0" w:noVBand="1"/>
      </w:tblPr>
      <w:tblGrid>
        <w:gridCol w:w="510"/>
        <w:gridCol w:w="4116"/>
        <w:gridCol w:w="4872"/>
      </w:tblGrid>
      <w:tr w:rsidR="00D37DB0" w:rsidRPr="00557FC7" w:rsidTr="00B81490">
        <w:tc>
          <w:tcPr>
            <w:tcW w:w="510" w:type="dxa"/>
            <w:shd w:val="clear" w:color="auto" w:fill="D6E3BC" w:themeFill="accent3" w:themeFillTint="66"/>
          </w:tcPr>
          <w:p w:rsidR="000641DF" w:rsidRPr="00557FC7" w:rsidRDefault="000641DF" w:rsidP="000641DF">
            <w:pPr>
              <w:pStyle w:val="ListParagraph"/>
              <w:ind w:left="0"/>
              <w:jc w:val="both"/>
              <w:rPr>
                <w:b/>
              </w:rPr>
            </w:pPr>
          </w:p>
        </w:tc>
        <w:tc>
          <w:tcPr>
            <w:tcW w:w="4116" w:type="dxa"/>
            <w:shd w:val="clear" w:color="auto" w:fill="D6E3BC" w:themeFill="accent3" w:themeFillTint="66"/>
          </w:tcPr>
          <w:p w:rsidR="000641DF" w:rsidRPr="00557FC7" w:rsidRDefault="00557FC7" w:rsidP="000641DF">
            <w:pPr>
              <w:pStyle w:val="ListParagraph"/>
              <w:ind w:left="0"/>
              <w:jc w:val="both"/>
              <w:rPr>
                <w:b/>
              </w:rPr>
            </w:pPr>
            <w:r w:rsidRPr="00557FC7">
              <w:rPr>
                <w:b/>
              </w:rPr>
              <w:t xml:space="preserve">Jautājums: </w:t>
            </w:r>
          </w:p>
        </w:tc>
        <w:tc>
          <w:tcPr>
            <w:tcW w:w="4872" w:type="dxa"/>
            <w:shd w:val="clear" w:color="auto" w:fill="D6E3BC" w:themeFill="accent3" w:themeFillTint="66"/>
          </w:tcPr>
          <w:p w:rsidR="000641DF" w:rsidRPr="00557FC7" w:rsidRDefault="00557FC7" w:rsidP="000641DF">
            <w:pPr>
              <w:pStyle w:val="ListParagraph"/>
              <w:ind w:left="0"/>
              <w:jc w:val="both"/>
              <w:rPr>
                <w:b/>
              </w:rPr>
            </w:pPr>
            <w:r w:rsidRPr="00557FC7">
              <w:rPr>
                <w:b/>
              </w:rPr>
              <w:t>Atbilde:</w:t>
            </w:r>
          </w:p>
        </w:tc>
      </w:tr>
      <w:tr w:rsidR="0073103E" w:rsidTr="00B81490">
        <w:tc>
          <w:tcPr>
            <w:tcW w:w="510" w:type="dxa"/>
          </w:tcPr>
          <w:p w:rsidR="000641DF" w:rsidRDefault="000641DF" w:rsidP="00557FC7">
            <w:pPr>
              <w:pStyle w:val="ListParagraph"/>
              <w:numPr>
                <w:ilvl w:val="0"/>
                <w:numId w:val="5"/>
              </w:numPr>
              <w:ind w:left="284" w:right="176" w:hanging="142"/>
              <w:jc w:val="both"/>
            </w:pPr>
          </w:p>
        </w:tc>
        <w:tc>
          <w:tcPr>
            <w:tcW w:w="4116" w:type="dxa"/>
          </w:tcPr>
          <w:p w:rsidR="00F85065" w:rsidRDefault="00F85065" w:rsidP="000641DF">
            <w:pPr>
              <w:pStyle w:val="ListParagraph"/>
              <w:ind w:left="0"/>
              <w:jc w:val="both"/>
            </w:pPr>
            <w:r>
              <w:t xml:space="preserve">Iepirkuma nolikuma 14.1. punktā noteikti vērtēšanas kritēriji saimnieciski visizdevīgākā piedāvājuma noteikšanai. 1. vērtēšanas kritērijs (35 punkti) nosaka, kas maksimālais punktu skaits tiek piešķirts Pretendentam par veselīgākajiem un sabalansētākajiem kompleksiem, kas atbilst 2012.gada 13.marta Ministru kabineta noteikumu </w:t>
            </w:r>
            <w:r>
              <w:lastRenderedPageBreak/>
              <w:t xml:space="preserve">Nr. 172 „Noteikumi par uztura normām izglītības iestāžu izglītojamiem, sociālās aprūpes un sociālās rehabilitācijas institūciju klientiem un ārstniecības iestāžu pacientiem” prasībām. </w:t>
            </w:r>
            <w:r>
              <w:br/>
            </w:r>
            <w:r>
              <w:br/>
            </w:r>
            <w:r>
              <w:rPr>
                <w:b/>
                <w:bCs/>
              </w:rPr>
              <w:t>Jautājums:</w:t>
            </w:r>
            <w:r>
              <w:t xml:space="preserve"> Kādi ir salīdzināšanas kritēriji, kas noteiks, ka viena ēdienkarte ir veselīgāka un sabalansētāka par otru, ja abas ēdienkartes atbilst MK noteikumiem?</w:t>
            </w:r>
            <w:r>
              <w:br/>
            </w:r>
          </w:p>
        </w:tc>
        <w:tc>
          <w:tcPr>
            <w:tcW w:w="4872" w:type="dxa"/>
            <w:shd w:val="clear" w:color="auto" w:fill="D6E3BC" w:themeFill="accent3" w:themeFillTint="66"/>
          </w:tcPr>
          <w:p w:rsidR="001A579D" w:rsidRDefault="00BE3CD9" w:rsidP="004355BF">
            <w:pPr>
              <w:tabs>
                <w:tab w:val="left" w:pos="709"/>
                <w:tab w:val="num" w:pos="1080"/>
                <w:tab w:val="left" w:pos="1134"/>
              </w:tabs>
              <w:jc w:val="both"/>
            </w:pPr>
            <w:r>
              <w:lastRenderedPageBreak/>
              <w:t xml:space="preserve">Nolikuma </w:t>
            </w:r>
            <w:r w:rsidR="001A579D">
              <w:t xml:space="preserve">14.1.punktā ir skaidri noteikta piedāvājuma izvērtēšanas kārtība attiecīgā kritērija ietvaros. Noteikts, ka </w:t>
            </w:r>
            <w:r w:rsidR="001A579D">
              <w:rPr>
                <w:color w:val="000000"/>
              </w:rPr>
              <w:t>ēdienkartes tiks savstarpēji salīdzinātas</w:t>
            </w:r>
            <w:r w:rsidR="002402A7">
              <w:rPr>
                <w:color w:val="000000"/>
              </w:rPr>
              <w:t xml:space="preserve"> un viskvalitatīvāk izstrādātajām ēdienkartēm</w:t>
            </w:r>
            <w:r w:rsidR="001A579D" w:rsidRPr="00590E6A">
              <w:rPr>
                <w:color w:val="000000"/>
              </w:rPr>
              <w:t xml:space="preserve"> ti</w:t>
            </w:r>
            <w:r w:rsidR="002402A7">
              <w:rPr>
                <w:color w:val="000000"/>
              </w:rPr>
              <w:t>ks</w:t>
            </w:r>
            <w:r w:rsidR="001A579D" w:rsidRPr="00590E6A">
              <w:rPr>
                <w:color w:val="000000"/>
              </w:rPr>
              <w:t xml:space="preserve"> piešķirts maksimālais punktu skaits – 3</w:t>
            </w:r>
            <w:r w:rsidR="001A579D">
              <w:rPr>
                <w:color w:val="000000"/>
              </w:rPr>
              <w:t>5</w:t>
            </w:r>
            <w:r w:rsidR="001A579D" w:rsidRPr="00590E6A">
              <w:rPr>
                <w:color w:val="000000"/>
              </w:rPr>
              <w:t>. Pērējām ēdienkartēm punktu skaits tiek piešķirts, i</w:t>
            </w:r>
            <w:r w:rsidR="001A579D" w:rsidRPr="00590E6A">
              <w:t xml:space="preserve">zmantojot salīdzināšanas metodi (salīdzināšanas solis 5), piešķirot mazāku </w:t>
            </w:r>
            <w:r w:rsidR="001A579D" w:rsidRPr="00590E6A">
              <w:lastRenderedPageBreak/>
              <w:t>punktu skaitu.</w:t>
            </w:r>
            <w:r w:rsidR="002402A7">
              <w:t xml:space="preserve"> </w:t>
            </w:r>
            <w:r w:rsidR="00D72790">
              <w:t>Norādām, ka p</w:t>
            </w:r>
            <w:r w:rsidR="001A579D" w:rsidRPr="00590E6A">
              <w:t>retendentiem piešķirto punktu skaits var būt vienāds</w:t>
            </w:r>
            <w:r w:rsidR="002402A7">
              <w:t xml:space="preserve">, </w:t>
            </w:r>
            <w:r w:rsidR="001A579D" w:rsidRPr="00590E6A">
              <w:t>arī 3</w:t>
            </w:r>
            <w:r w:rsidR="001A579D">
              <w:t>5</w:t>
            </w:r>
            <w:r w:rsidR="001A579D" w:rsidRPr="00590E6A">
              <w:t xml:space="preserve"> punktu novērtējums var tikt </w:t>
            </w:r>
            <w:r w:rsidR="002402A7">
              <w:t>piešķirts vairākām ēdienkartēm</w:t>
            </w:r>
            <w:r w:rsidR="00D72790">
              <w:t xml:space="preserve">. </w:t>
            </w:r>
          </w:p>
          <w:p w:rsidR="004355BF" w:rsidRDefault="004355BF" w:rsidP="008B4DF1">
            <w:pPr>
              <w:tabs>
                <w:tab w:val="left" w:pos="709"/>
                <w:tab w:val="num" w:pos="1080"/>
                <w:tab w:val="left" w:pos="1134"/>
              </w:tabs>
              <w:jc w:val="both"/>
            </w:pPr>
            <w:r>
              <w:t xml:space="preserve">Jebkurā gadījumā, ja pretendents piedāvājumā ir iekļāvis korekti sastādītas ēdienkartes un to tehnoloģiskās kartes, kas atbilst </w:t>
            </w:r>
            <w:r w:rsidR="009D432E">
              <w:t>2012.gada 13.marta Ministru kabineta noteikumu Nr. 172 „Noteikumi par uztura normām izglītības iestāžu izglītojamiem, sociālās aprūpes un sociālās rehabilitācijas institūciju klientiem un ārstniecības iestāžu pacientiem”</w:t>
            </w:r>
            <w:r w:rsidR="009D432E">
              <w:t xml:space="preserve"> </w:t>
            </w:r>
            <w:r w:rsidR="00B52763">
              <w:t>noteikumiem, komisija tam piešķirs maksimālos paredzētos punktus. Savukārt, ja</w:t>
            </w:r>
            <w:r w:rsidR="00442341">
              <w:t xml:space="preserve"> kādu </w:t>
            </w:r>
            <w:r w:rsidR="00B52763">
              <w:t xml:space="preserve">pretendentu </w:t>
            </w:r>
            <w:r w:rsidR="00B52763">
              <w:t>sastādīta</w:t>
            </w:r>
            <w:r w:rsidR="00442341">
              <w:t>jās ēdienkartē</w:t>
            </w:r>
            <w:r w:rsidR="00B52763">
              <w:t>s un to tehnoloģisk</w:t>
            </w:r>
            <w:r w:rsidR="00FC7C5D">
              <w:t>aj</w:t>
            </w:r>
            <w:r w:rsidR="00B52763">
              <w:t>ās kart</w:t>
            </w:r>
            <w:r w:rsidR="008B4DF1">
              <w:t xml:space="preserve">ēs būs tehniskas neatbilstības un/vai neatbilstības </w:t>
            </w:r>
            <w:r w:rsidR="00442341">
              <w:t xml:space="preserve">minēto Ministru kabineta noteikumu regulējumam, komisija vērtēs šo neatbilstību būtiskumu un </w:t>
            </w:r>
            <w:r w:rsidR="00FC7C5D">
              <w:t xml:space="preserve">piešķiramo punktu skaitu pretendentam, veicot arī savstarpēju </w:t>
            </w:r>
            <w:r w:rsidR="008B4DF1">
              <w:t xml:space="preserve">pretendentu piedāvājumu salīdzināšanu (proporcionalitātes princips). </w:t>
            </w:r>
          </w:p>
          <w:p w:rsidR="008B4DF1" w:rsidRDefault="008B4DF1" w:rsidP="003A6914">
            <w:pPr>
              <w:tabs>
                <w:tab w:val="left" w:pos="709"/>
                <w:tab w:val="num" w:pos="1080"/>
                <w:tab w:val="left" w:pos="1134"/>
              </w:tabs>
              <w:jc w:val="both"/>
            </w:pPr>
            <w:r>
              <w:t xml:space="preserve">Vēršam uzmanību, ka pasūtītājs būs nodrošinājis, lai </w:t>
            </w:r>
            <w:r w:rsidR="00BD2B16">
              <w:t>pretendentu iesniegtās ēdienkartes un to tehnoloģiskās kartes izvērtētu kompetenta komisija (tiks nodrošināts arī pārtikas tehnologa – eksperta atbalsts)</w:t>
            </w:r>
            <w:r w:rsidR="003A6914">
              <w:t>, tiks nodrošināta piešķirto lēmumu detalizēta argumentācijas pieejamība (piedāvājumu izvērtēšanas protokolos un paziņojumā par iepirkuma rezultātiem)</w:t>
            </w:r>
            <w:r w:rsidR="00B67395">
              <w:t xml:space="preserve"> un subjektīvo tiesību pārkāpuma konstatācijas gadījumā pretendentiem būs tiesības Publisko iepirkumu likumā noteiktajā kārtībā nodrošināt savu tiesību aizsardzību. </w:t>
            </w:r>
          </w:p>
        </w:tc>
      </w:tr>
      <w:tr w:rsidR="0073103E" w:rsidTr="00B81490">
        <w:tc>
          <w:tcPr>
            <w:tcW w:w="510" w:type="dxa"/>
          </w:tcPr>
          <w:p w:rsidR="000641DF" w:rsidRDefault="000641DF" w:rsidP="00557FC7">
            <w:pPr>
              <w:pStyle w:val="ListParagraph"/>
              <w:numPr>
                <w:ilvl w:val="0"/>
                <w:numId w:val="5"/>
              </w:numPr>
              <w:ind w:left="284" w:right="176" w:hanging="142"/>
              <w:jc w:val="both"/>
            </w:pPr>
          </w:p>
        </w:tc>
        <w:tc>
          <w:tcPr>
            <w:tcW w:w="4116" w:type="dxa"/>
          </w:tcPr>
          <w:p w:rsidR="00F85065" w:rsidRDefault="00F85065" w:rsidP="00F85065">
            <w:pPr>
              <w:jc w:val="both"/>
            </w:pPr>
            <w:r>
              <w:t>2. vērtēšanas kritērijs (30 punkti) nosaka, ka maksimālais punktu skaits tiek piešķirts Pretendentam ja 50 un vairāk dažādi produkti tiks piegādāti no ražotājiem un tirgotājiem, kas atrodas 20 km rādiusā no Kadagas pirmsskolas izglītības iestādes atrašanās vietas.</w:t>
            </w:r>
            <w:r>
              <w:br/>
            </w:r>
            <w:r>
              <w:br/>
            </w:r>
            <w:r>
              <w:rPr>
                <w:b/>
                <w:bCs/>
              </w:rPr>
              <w:t>Jautājumi:</w:t>
            </w:r>
            <w:r>
              <w:t xml:space="preserve"> Kā tiks noteikts attālums līdz piegādātāja atrašanās vietai Rīgā? </w:t>
            </w:r>
          </w:p>
          <w:p w:rsidR="000641DF" w:rsidRDefault="00F85065" w:rsidP="00F85065">
            <w:pPr>
              <w:pStyle w:val="ListParagraph"/>
              <w:ind w:left="0"/>
              <w:jc w:val="both"/>
            </w:pPr>
            <w:r>
              <w:t>Vai tas ir attālums līdz Rīgas administratīvās teritorijas robežai, vai arī ir jāmeklē oficiāli avoti, kas norāda precīzu attālumu līdz konkrētajai ielai Rīgā?</w:t>
            </w:r>
            <w:r>
              <w:br/>
            </w:r>
            <w:r>
              <w:lastRenderedPageBreak/>
              <w:t>Kādi avoti ir atzīstami par autoritatīviem precīzai attāluma noteikšanai?</w:t>
            </w:r>
            <w:r>
              <w:br/>
            </w:r>
          </w:p>
        </w:tc>
        <w:tc>
          <w:tcPr>
            <w:tcW w:w="4872" w:type="dxa"/>
            <w:shd w:val="clear" w:color="auto" w:fill="D6E3BC" w:themeFill="accent3" w:themeFillTint="66"/>
          </w:tcPr>
          <w:p w:rsidR="000641DF" w:rsidRDefault="00B67395" w:rsidP="0073103E">
            <w:pPr>
              <w:pStyle w:val="ListParagraph"/>
              <w:ind w:left="0"/>
              <w:jc w:val="both"/>
            </w:pPr>
            <w:r>
              <w:lastRenderedPageBreak/>
              <w:t>Saska</w:t>
            </w:r>
            <w:r w:rsidR="00A9133A">
              <w:t xml:space="preserve">ņā ar nolikuma 10.2. 9) apakšpunktā paredzēto, pretendentiem ir jāiekļauj piedāvājumā konkrēta informācija par </w:t>
            </w:r>
            <w:r w:rsidR="00A9133A">
              <w:t>produktiem, kuri tiks piegādāti no ražotājiem un tirgotājiem, kas atrodas 20 km rādiusā no Kadagas pirmsskolas izglītības iestādes atrašanās vietas</w:t>
            </w:r>
            <w:r w:rsidR="00A9133A">
              <w:t xml:space="preserve">. Tostarp jānorāda arī ražotāja vai tirgotāja adrese un jānorāda attālums kilometros no </w:t>
            </w:r>
            <w:r w:rsidR="00A9133A">
              <w:t>Kadagas pirmsskolas izglītības iestādes</w:t>
            </w:r>
            <w:r w:rsidR="00A9133A">
              <w:t>. Piedāvājumu izvērtēšanas gaitā komisija izvērtēs pašu pretendentu sniegto informāciju par attālumu, šaubu gadījumā pārbaudīs attiecīgās informācijas patiesumu</w:t>
            </w:r>
            <w:r w:rsidR="00370CAF">
              <w:t xml:space="preserve">. </w:t>
            </w:r>
            <w:r w:rsidR="003A14D0">
              <w:t>Komisija norāda, ka šaubu gadījumā tiks ņemts vērā</w:t>
            </w:r>
            <w:r w:rsidR="0073103E">
              <w:t xml:space="preserve"> īsākais auto maršruta </w:t>
            </w:r>
            <w:r w:rsidR="003A14D0">
              <w:t xml:space="preserve">attālums starp divām </w:t>
            </w:r>
            <w:r w:rsidR="003A14D0">
              <w:lastRenderedPageBreak/>
              <w:t xml:space="preserve">adresēm programmā </w:t>
            </w:r>
            <w:hyperlink r:id="rId6" w:history="1">
              <w:r w:rsidR="0073103E" w:rsidRPr="003908D6">
                <w:rPr>
                  <w:rStyle w:val="Hyperlink"/>
                </w:rPr>
                <w:t>https://www.google.lv/maps</w:t>
              </w:r>
            </w:hyperlink>
            <w:r w:rsidR="0073103E">
              <w:t xml:space="preserve">. </w:t>
            </w:r>
          </w:p>
        </w:tc>
      </w:tr>
      <w:tr w:rsidR="0073103E" w:rsidTr="00B81490">
        <w:tc>
          <w:tcPr>
            <w:tcW w:w="510" w:type="dxa"/>
          </w:tcPr>
          <w:p w:rsidR="000641DF" w:rsidRDefault="000641DF" w:rsidP="00557FC7">
            <w:pPr>
              <w:pStyle w:val="ListParagraph"/>
              <w:numPr>
                <w:ilvl w:val="0"/>
                <w:numId w:val="5"/>
              </w:numPr>
              <w:ind w:left="284" w:right="176" w:hanging="142"/>
              <w:jc w:val="both"/>
            </w:pPr>
          </w:p>
        </w:tc>
        <w:tc>
          <w:tcPr>
            <w:tcW w:w="4116" w:type="dxa"/>
          </w:tcPr>
          <w:p w:rsidR="000641DF" w:rsidRDefault="00F85065" w:rsidP="000641DF">
            <w:pPr>
              <w:pStyle w:val="ListParagraph"/>
              <w:ind w:left="0"/>
              <w:jc w:val="both"/>
            </w:pPr>
            <w:r>
              <w:t>Iepirkuma nolikuma 14.1. punktā noteikti vērtēšanas kritēriji saimnieciski visizdevīgākā piedāvājuma noteikšanai. 7. vērtēšanas kritērijs paredz punktu piešķiršanu par finanšu piedāvājumu.</w:t>
            </w:r>
            <w:r>
              <w:br/>
            </w:r>
            <w:r>
              <w:br/>
            </w:r>
            <w:r>
              <w:rPr>
                <w:b/>
                <w:bCs/>
              </w:rPr>
              <w:t>Jautājums</w:t>
            </w:r>
            <w:r>
              <w:t>: Kāda ēdināšanas maksa par 1 dienu tiks ņemta vērā (summa bez PVN vai summa ar PVN)?</w:t>
            </w:r>
          </w:p>
        </w:tc>
        <w:tc>
          <w:tcPr>
            <w:tcW w:w="4872" w:type="dxa"/>
            <w:shd w:val="clear" w:color="auto" w:fill="D6E3BC" w:themeFill="accent3" w:themeFillTint="66"/>
          </w:tcPr>
          <w:p w:rsidR="007540AC" w:rsidRDefault="0073103E" w:rsidP="00AB0913">
            <w:pPr>
              <w:pStyle w:val="ListParagraph"/>
              <w:ind w:left="0"/>
              <w:jc w:val="both"/>
              <w:rPr>
                <w:color w:val="000000"/>
              </w:rPr>
            </w:pPr>
            <w:r>
              <w:t>Pasūtītājs piedāvājumu iz</w:t>
            </w:r>
            <w:r w:rsidR="006545B0">
              <w:t xml:space="preserve">vērtēšanā ņems vērā </w:t>
            </w:r>
            <w:r w:rsidR="006545B0" w:rsidRPr="00071582">
              <w:rPr>
                <w:color w:val="000000"/>
              </w:rPr>
              <w:t xml:space="preserve">vienas dienas ēdināšanas </w:t>
            </w:r>
            <w:r w:rsidR="006545B0">
              <w:rPr>
                <w:color w:val="000000"/>
              </w:rPr>
              <w:t>pakalpoju cenu</w:t>
            </w:r>
            <w:r w:rsidR="006545B0">
              <w:rPr>
                <w:color w:val="000000"/>
              </w:rPr>
              <w:t xml:space="preserve"> vienam bērnam</w:t>
            </w:r>
            <w:r w:rsidR="006545B0">
              <w:rPr>
                <w:color w:val="000000"/>
              </w:rPr>
              <w:t xml:space="preserve"> bez PVN. </w:t>
            </w:r>
          </w:p>
          <w:p w:rsidR="000641DF" w:rsidRDefault="00C26CC0" w:rsidP="00AB0913">
            <w:pPr>
              <w:pStyle w:val="ListParagraph"/>
              <w:ind w:left="0"/>
              <w:jc w:val="both"/>
            </w:pPr>
            <w:r>
              <w:rPr>
                <w:color w:val="000000"/>
              </w:rPr>
              <w:t>Jāņem vērā, ka visu vecumu bērniem Kadagas pirmsskolas izglītības iestādē jānodrošina vienāda ēdināšana</w:t>
            </w:r>
            <w:r w:rsidR="000B465D">
              <w:rPr>
                <w:color w:val="000000"/>
              </w:rPr>
              <w:t>, nenodalot atšķirīgu ēdināšanu un samazinātas porcija</w:t>
            </w:r>
            <w:r w:rsidR="005215A6">
              <w:rPr>
                <w:color w:val="000000"/>
              </w:rPr>
              <w:t xml:space="preserve">s bērniem vecumā no 1-2 gadiem, līdz ar to visu vecumu grupu bērnu </w:t>
            </w:r>
            <w:r w:rsidR="00AB0913">
              <w:rPr>
                <w:color w:val="000000"/>
              </w:rPr>
              <w:t>ēdināšanas</w:t>
            </w:r>
            <w:r w:rsidR="005215A6">
              <w:rPr>
                <w:color w:val="000000"/>
              </w:rPr>
              <w:t xml:space="preserve"> izmaksām ir jābūt vienādām. </w:t>
            </w:r>
          </w:p>
        </w:tc>
      </w:tr>
      <w:tr w:rsidR="0073103E" w:rsidTr="00B81490">
        <w:tc>
          <w:tcPr>
            <w:tcW w:w="510" w:type="dxa"/>
          </w:tcPr>
          <w:p w:rsidR="000641DF" w:rsidRDefault="000641DF" w:rsidP="00557FC7">
            <w:pPr>
              <w:pStyle w:val="ListParagraph"/>
              <w:numPr>
                <w:ilvl w:val="0"/>
                <w:numId w:val="5"/>
              </w:numPr>
              <w:ind w:left="284" w:right="176" w:hanging="142"/>
              <w:jc w:val="both"/>
            </w:pPr>
          </w:p>
        </w:tc>
        <w:tc>
          <w:tcPr>
            <w:tcW w:w="4116" w:type="dxa"/>
          </w:tcPr>
          <w:p w:rsidR="000641DF" w:rsidRDefault="002E66BC" w:rsidP="000641DF">
            <w:pPr>
              <w:pStyle w:val="ListParagraph"/>
              <w:ind w:left="0"/>
              <w:jc w:val="both"/>
            </w:pPr>
            <w:r>
              <w:t xml:space="preserve">Iepirkuma nolikuma 10.2 punkta 3. apakšpunkts nosaka: “Pretendenta apliecinājuma (brīvā formā), ka Pretendents līguma darbības laikā sniegs ēdināšanas pakalpojumus un vismaz 50% (piecdesmit procenti) no ēdienkartē izmantotajiem dārzeņiem, augļiem un ogām atbildīs lauksaimniecības produktu integrētās audzēšanas vai bioloģiskās lauksaimniecības prasībām, ņemot vērā to sezonalitāti un pieejamību tirgū, kā arī ievērojot Zemkopības ministrijas izstrādāto vietējo dārzeņu, augļu un ogu pieejamības kalendāru, kas ir publicēts: </w:t>
            </w:r>
            <w:hyperlink r:id="rId7" w:anchor="jump" w:history="1">
              <w:r>
                <w:rPr>
                  <w:rStyle w:val="Hyperlink"/>
                </w:rPr>
                <w:t>https://www.zm.gov.lv/partika/statiskas-lapas/zalais-iepirkums?nid=1114#jump</w:t>
              </w:r>
            </w:hyperlink>
            <w:r>
              <w:t>” Tajā pat laikā Iepirkuma nolikuma 10.2 punkta 7. apakšpunkts prasa iesniegt informāciju par produktiem, kas atbilsts NPKS; BL; LPIA prasībām, tos sagrupējot trīs atsevišķās tabulās.</w:t>
            </w:r>
          </w:p>
          <w:p w:rsidR="002E66BC" w:rsidRDefault="002E66BC" w:rsidP="000641DF">
            <w:pPr>
              <w:pStyle w:val="ListParagraph"/>
              <w:ind w:left="0"/>
              <w:jc w:val="both"/>
              <w:rPr>
                <w:b/>
                <w:bCs/>
              </w:rPr>
            </w:pPr>
          </w:p>
          <w:p w:rsidR="002E66BC" w:rsidRDefault="002E66BC" w:rsidP="000641DF">
            <w:pPr>
              <w:pStyle w:val="ListParagraph"/>
              <w:ind w:left="0"/>
              <w:jc w:val="both"/>
            </w:pPr>
            <w:r>
              <w:rPr>
                <w:b/>
                <w:bCs/>
              </w:rPr>
              <w:t>Jautājums:</w:t>
            </w:r>
            <w:r>
              <w:t xml:space="preserve"> Vai ir kāds iemesls, ka minētajā punktā no apliecinājuma tiek izslēgti produkti, kas atbilst nacionālās pārtikas kvalitātes shēmas prasībām un ir nepieciešams apliecināt tikai to, ka ēdienkartē izmantotos dārzeņus, augļus un ogas, kas atbilst lauksaimniecības produktu integrētās audzēšanas vai bioloģiskās lauksaimniecības prasībām?</w:t>
            </w:r>
          </w:p>
        </w:tc>
        <w:tc>
          <w:tcPr>
            <w:tcW w:w="4872" w:type="dxa"/>
            <w:shd w:val="clear" w:color="auto" w:fill="D6E3BC" w:themeFill="accent3" w:themeFillTint="66"/>
          </w:tcPr>
          <w:p w:rsidR="000641DF" w:rsidRDefault="00212495" w:rsidP="004E5A66">
            <w:pPr>
              <w:pStyle w:val="ListParagraph"/>
              <w:ind w:left="0"/>
              <w:jc w:val="both"/>
            </w:pPr>
            <w:r>
              <w:t xml:space="preserve">Pasūtītājs plāno pakāpenisku pāreju uz paaugstinātu prasību ieviešanu izglītojamo ēdināšanā Ādažu novadā, tādējādi nodrošinot arī to, ka ēdināšanas cenas attiecībā pret iepriekšējo ēdināšanas pakalpojumu sniedzēju nodrošinātajām cenām (kad pakalpojumu tehniskajā specifikācijās netika iekļautas prasības attiecībā uz pārtikas produktu paaugstinātu kvalitāti) pieaug pakāpeniski. Tādējādi attiecīgajā pārejas periodā pasūtītājs ir lēmis par </w:t>
            </w:r>
            <w:r w:rsidR="00E604E3">
              <w:t xml:space="preserve">paaugstinātu prasību attiecināšanu attiecībā uz vismaz 50% ēdienkartē izmantojamiem </w:t>
            </w:r>
            <w:r w:rsidR="00E604E3">
              <w:t>dārzeņ</w:t>
            </w:r>
            <w:r w:rsidR="00E604E3">
              <w:t>iem, augļiem</w:t>
            </w:r>
            <w:r w:rsidR="00E604E3">
              <w:t xml:space="preserve"> un o</w:t>
            </w:r>
            <w:r w:rsidR="00E604E3">
              <w:t>gām</w:t>
            </w:r>
            <w:r w:rsidR="00FB3EB1">
              <w:t>. Vēršam uzmanību, ka nolikuma 10.2.punkta 3.</w:t>
            </w:r>
            <w:r w:rsidR="003A083C">
              <w:t xml:space="preserve">apakšpunkts </w:t>
            </w:r>
            <w:r w:rsidR="004E5A66">
              <w:t xml:space="preserve">tehniskas </w:t>
            </w:r>
            <w:r w:rsidR="003A083C">
              <w:t>kļūda</w:t>
            </w:r>
            <w:r w:rsidR="004E5A66">
              <w:t>s pēc</w:t>
            </w:r>
            <w:r w:rsidR="003A083C">
              <w:t xml:space="preserve"> nemin produktus, kas atbilst </w:t>
            </w:r>
            <w:r w:rsidR="003A083C" w:rsidRPr="005D5CE8">
              <w:rPr>
                <w:lang w:eastAsia="lv-LV"/>
              </w:rPr>
              <w:t>nacionālās pārtikas kvalitātes shēmas (NPKS) prasībām</w:t>
            </w:r>
            <w:r w:rsidR="00AA3E52">
              <w:rPr>
                <w:lang w:eastAsia="lv-LV"/>
              </w:rPr>
              <w:t>.</w:t>
            </w:r>
            <w:r w:rsidR="00E52257">
              <w:rPr>
                <w:lang w:eastAsia="lv-LV"/>
              </w:rPr>
              <w:t xml:space="preserve"> Piedāvājumu izvērtēšanas gaitā komisija ņems vērā </w:t>
            </w:r>
            <w:r w:rsidR="00AF1B88">
              <w:rPr>
                <w:lang w:eastAsia="lv-LV"/>
              </w:rPr>
              <w:t xml:space="preserve">visu informāciju, ko pretendents būs iesniedzis saskaņā ar </w:t>
            </w:r>
            <w:r w:rsidR="00AF1B88">
              <w:t xml:space="preserve">nolikuma 10.2 </w:t>
            </w:r>
            <w:r w:rsidR="00AF1B88">
              <w:t>7</w:t>
            </w:r>
            <w:r w:rsidR="00AF1B88">
              <w:t xml:space="preserve">) </w:t>
            </w:r>
            <w:r w:rsidR="00AF1B88">
              <w:t>apakšpunkt</w:t>
            </w:r>
            <w:r w:rsidR="00AF1B88">
              <w:t>u.</w:t>
            </w:r>
          </w:p>
        </w:tc>
      </w:tr>
    </w:tbl>
    <w:p w:rsidR="000641DF" w:rsidRDefault="000641DF" w:rsidP="000641DF">
      <w:pPr>
        <w:pStyle w:val="ListParagraph"/>
        <w:ind w:left="567"/>
        <w:jc w:val="both"/>
      </w:pPr>
    </w:p>
    <w:p w:rsidR="00272811" w:rsidRDefault="00272811" w:rsidP="00272811">
      <w:pPr>
        <w:ind w:firstLine="720"/>
        <w:jc w:val="both"/>
      </w:pPr>
    </w:p>
    <w:p w:rsidR="00221CA6" w:rsidRDefault="00221CA6" w:rsidP="00272811">
      <w:pPr>
        <w:jc w:val="both"/>
      </w:pPr>
    </w:p>
    <w:p w:rsidR="00221CA6" w:rsidRDefault="00221CA6" w:rsidP="00272811">
      <w:pPr>
        <w:jc w:val="both"/>
      </w:pPr>
    </w:p>
    <w:p w:rsidR="00272811" w:rsidRDefault="00272811" w:rsidP="00221CA6">
      <w:pPr>
        <w:shd w:val="clear" w:color="auto" w:fill="D6E3BC" w:themeFill="accent3" w:themeFillTint="66"/>
        <w:jc w:val="both"/>
        <w:rPr>
          <w:b/>
          <w:bCs/>
        </w:rPr>
      </w:pPr>
      <w:r>
        <w:rPr>
          <w:b/>
          <w:bCs/>
        </w:rPr>
        <w:lastRenderedPageBreak/>
        <w:t xml:space="preserve">Komisija </w:t>
      </w:r>
      <w:r w:rsidR="00221CA6">
        <w:rPr>
          <w:b/>
          <w:bCs/>
        </w:rPr>
        <w:t xml:space="preserve">vienbalsīgi </w:t>
      </w:r>
      <w:r>
        <w:rPr>
          <w:b/>
          <w:bCs/>
        </w:rPr>
        <w:t xml:space="preserve">nolemj: </w:t>
      </w:r>
    </w:p>
    <w:p w:rsidR="00272811" w:rsidRPr="00221CA6" w:rsidRDefault="00272811" w:rsidP="00221CA6">
      <w:pPr>
        <w:numPr>
          <w:ilvl w:val="0"/>
          <w:numId w:val="1"/>
        </w:numPr>
        <w:shd w:val="clear" w:color="auto" w:fill="D6E3BC" w:themeFill="accent3" w:themeFillTint="66"/>
        <w:tabs>
          <w:tab w:val="num" w:pos="567"/>
        </w:tabs>
        <w:ind w:left="567" w:hanging="567"/>
        <w:jc w:val="both"/>
        <w:rPr>
          <w:b/>
        </w:rPr>
      </w:pPr>
      <w:r w:rsidRPr="00221CA6">
        <w:rPr>
          <w:b/>
        </w:rPr>
        <w:t xml:space="preserve">Atbalstīt </w:t>
      </w:r>
      <w:r w:rsidR="00D37DB0" w:rsidRPr="00221CA6">
        <w:rPr>
          <w:b/>
        </w:rPr>
        <w:t>sagatavotos skaidrojumus par iepirkuma</w:t>
      </w:r>
      <w:r w:rsidRPr="00221CA6">
        <w:rPr>
          <w:b/>
        </w:rPr>
        <w:t xml:space="preserve"> </w:t>
      </w:r>
      <w:r w:rsidR="00C9257E" w:rsidRPr="00221CA6">
        <w:rPr>
          <w:b/>
        </w:rPr>
        <w:t>„Ēdināšanas pakalpojumu nodrošināšana Kadagas pirmsskolas izglītības iestāde” (ID.Nr.: ĀND 2016/</w:t>
      </w:r>
      <w:r w:rsidR="006C2C11" w:rsidRPr="00221CA6">
        <w:rPr>
          <w:b/>
        </w:rPr>
        <w:t>65</w:t>
      </w:r>
      <w:r w:rsidR="00C9257E" w:rsidRPr="00221CA6">
        <w:rPr>
          <w:b/>
        </w:rPr>
        <w:t>)</w:t>
      </w:r>
      <w:r w:rsidR="00FB4200" w:rsidRPr="00221CA6">
        <w:rPr>
          <w:b/>
        </w:rPr>
        <w:t xml:space="preserve"> </w:t>
      </w:r>
      <w:r w:rsidR="0083447E" w:rsidRPr="00221CA6">
        <w:rPr>
          <w:b/>
        </w:rPr>
        <w:t>nolikum</w:t>
      </w:r>
      <w:r w:rsidR="00D37DB0" w:rsidRPr="00221CA6">
        <w:rPr>
          <w:b/>
        </w:rPr>
        <w:t>u</w:t>
      </w:r>
      <w:r w:rsidRPr="00221CA6">
        <w:rPr>
          <w:b/>
          <w:i/>
        </w:rPr>
        <w:t>.</w:t>
      </w:r>
    </w:p>
    <w:p w:rsidR="00272811" w:rsidRPr="00221CA6" w:rsidRDefault="00D37DB0" w:rsidP="00221CA6">
      <w:pPr>
        <w:numPr>
          <w:ilvl w:val="0"/>
          <w:numId w:val="1"/>
        </w:numPr>
        <w:shd w:val="clear" w:color="auto" w:fill="D6E3BC" w:themeFill="accent3" w:themeFillTint="66"/>
        <w:tabs>
          <w:tab w:val="num" w:pos="567"/>
        </w:tabs>
        <w:ind w:left="567" w:hanging="567"/>
        <w:jc w:val="both"/>
        <w:rPr>
          <w:b/>
        </w:rPr>
      </w:pPr>
      <w:r w:rsidRPr="00221CA6">
        <w:rPr>
          <w:b/>
        </w:rPr>
        <w:t xml:space="preserve">Publicēt sagatavotos skaidrojumus </w:t>
      </w:r>
      <w:r w:rsidR="00575BDA" w:rsidRPr="00221CA6">
        <w:rPr>
          <w:b/>
        </w:rPr>
        <w:t>ĀND mājaslapā un nosūtīt visiem ieinteresētajiem pretendentiem.</w:t>
      </w:r>
      <w:r w:rsidR="00272811" w:rsidRPr="00221CA6">
        <w:rPr>
          <w:b/>
        </w:rPr>
        <w:t xml:space="preserve"> </w:t>
      </w:r>
    </w:p>
    <w:p w:rsidR="00272811" w:rsidRDefault="00272811" w:rsidP="00F3097D">
      <w:pPr>
        <w:ind w:left="720"/>
        <w:jc w:val="both"/>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CB1941">
        <w:t>ekšsēdētājs sēdi slēdz plkst. 12</w:t>
      </w:r>
      <w:r>
        <w:t>:00.</w:t>
      </w:r>
    </w:p>
    <w:p w:rsidR="00272811" w:rsidRDefault="00272811" w:rsidP="00272811">
      <w:pPr>
        <w:jc w:val="both"/>
      </w:pPr>
    </w:p>
    <w:p w:rsidR="00272811" w:rsidRDefault="00272811" w:rsidP="00272811">
      <w:pPr>
        <w:jc w:val="both"/>
        <w:rPr>
          <w:b/>
        </w:rPr>
      </w:pPr>
      <w:r>
        <w:rPr>
          <w:b/>
        </w:rPr>
        <w:t xml:space="preserve">Pielikumā:    </w:t>
      </w:r>
    </w:p>
    <w:p w:rsidR="00272811" w:rsidRDefault="00575BDA" w:rsidP="00272811">
      <w:pPr>
        <w:numPr>
          <w:ilvl w:val="0"/>
          <w:numId w:val="2"/>
        </w:numPr>
        <w:jc w:val="both"/>
      </w:pPr>
      <w:r>
        <w:t>E.Kāpas</w:t>
      </w:r>
      <w:r w:rsidR="00272811">
        <w:t xml:space="preserve"> apliecinājums par neieinteresētību;</w:t>
      </w:r>
    </w:p>
    <w:p w:rsidR="00272811" w:rsidRDefault="00575BDA" w:rsidP="00272811">
      <w:pPr>
        <w:numPr>
          <w:ilvl w:val="0"/>
          <w:numId w:val="2"/>
        </w:numPr>
        <w:jc w:val="both"/>
      </w:pPr>
      <w:r>
        <w:t>Ieinteresēto pretendentu jautājumi</w:t>
      </w:r>
      <w:r w:rsidR="00272811">
        <w:t>;</w:t>
      </w:r>
    </w:p>
    <w:p w:rsidR="00272811" w:rsidRDefault="007279D9" w:rsidP="00272811">
      <w:pPr>
        <w:numPr>
          <w:ilvl w:val="0"/>
          <w:numId w:val="2"/>
        </w:numPr>
        <w:jc w:val="both"/>
      </w:pPr>
      <w:r>
        <w:t>Publikāciju izdruka</w:t>
      </w:r>
      <w:r w:rsidR="002A54C7">
        <w:t xml:space="preserve"> no ĀND </w:t>
      </w:r>
      <w:r>
        <w:t>mājaslapas</w:t>
      </w:r>
      <w:r w:rsidR="00272811">
        <w:t>.</w:t>
      </w:r>
    </w:p>
    <w:p w:rsidR="00272811" w:rsidRDefault="00272811" w:rsidP="00272811">
      <w:pPr>
        <w:ind w:left="720"/>
        <w:jc w:val="both"/>
      </w:pPr>
    </w:p>
    <w:p w:rsidR="00272811" w:rsidRDefault="00272811" w:rsidP="00272811">
      <w:pPr>
        <w:jc w:val="both"/>
      </w:pPr>
    </w:p>
    <w:p w:rsidR="00272811" w:rsidRDefault="00272811" w:rsidP="00272811">
      <w:pPr>
        <w:jc w:val="both"/>
      </w:pPr>
    </w:p>
    <w:p w:rsidR="00272811" w:rsidRDefault="00272811" w:rsidP="00272811"/>
    <w:p w:rsidR="00272811" w:rsidRDefault="00272811" w:rsidP="00272811">
      <w:pPr>
        <w:jc w:val="both"/>
      </w:pPr>
    </w:p>
    <w:p w:rsidR="00272811" w:rsidRDefault="00272811" w:rsidP="00272811">
      <w:pPr>
        <w:ind w:right="-694"/>
        <w:jc w:val="both"/>
      </w:pPr>
      <w:r>
        <w:t xml:space="preserve">Komisijas priekšsēdētājs: </w:t>
      </w:r>
      <w:r>
        <w:tab/>
      </w:r>
      <w:r>
        <w:tab/>
        <w:t>_____________________</w:t>
      </w:r>
      <w:r>
        <w:tab/>
        <w:t xml:space="preserve">A. Brūvers </w:t>
      </w:r>
    </w:p>
    <w:p w:rsidR="00272811" w:rsidRDefault="00272811" w:rsidP="00272811">
      <w:pPr>
        <w:ind w:right="-694"/>
        <w:jc w:val="both"/>
      </w:pPr>
    </w:p>
    <w:p w:rsidR="001D5B3D" w:rsidRDefault="00272811" w:rsidP="00E77527">
      <w:pPr>
        <w:ind w:right="-694"/>
        <w:jc w:val="both"/>
      </w:pPr>
      <w:r>
        <w:t>Komisijas locekļi:</w:t>
      </w:r>
      <w:r>
        <w:tab/>
      </w:r>
      <w:r>
        <w:tab/>
      </w:r>
      <w:r>
        <w:tab/>
      </w:r>
    </w:p>
    <w:p w:rsidR="00E63A48" w:rsidRDefault="00E63A48" w:rsidP="00E77527">
      <w:pPr>
        <w:ind w:right="-694"/>
        <w:jc w:val="both"/>
      </w:pPr>
      <w:r>
        <w:tab/>
      </w:r>
      <w:r>
        <w:tab/>
      </w:r>
      <w:r>
        <w:tab/>
      </w:r>
      <w:r>
        <w:tab/>
      </w:r>
      <w:r>
        <w:tab/>
        <w:t>_____________________</w:t>
      </w:r>
      <w:r>
        <w:tab/>
        <w:t>R. Šteina</w:t>
      </w:r>
    </w:p>
    <w:p w:rsidR="004671C4" w:rsidRDefault="004671C4" w:rsidP="00272811"/>
    <w:p w:rsidR="004671C4" w:rsidRDefault="004671C4" w:rsidP="00272811">
      <w:r>
        <w:tab/>
      </w:r>
      <w:r>
        <w:tab/>
      </w:r>
      <w:r>
        <w:tab/>
      </w:r>
      <w:r>
        <w:tab/>
      </w:r>
      <w:r>
        <w:tab/>
        <w:t>_____________________</w:t>
      </w:r>
      <w:r>
        <w:tab/>
        <w:t>H. Krasts</w:t>
      </w:r>
    </w:p>
    <w:p w:rsidR="00BE502E" w:rsidRDefault="00BE502E" w:rsidP="00272811"/>
    <w:p w:rsidR="00BE502E" w:rsidRDefault="00BE502E" w:rsidP="00272811">
      <w:r>
        <w:tab/>
      </w:r>
      <w:r>
        <w:tab/>
      </w:r>
      <w:r>
        <w:tab/>
      </w:r>
      <w:r>
        <w:tab/>
      </w:r>
      <w:r>
        <w:tab/>
        <w:t>_____________________</w:t>
      </w:r>
      <w:r>
        <w:tab/>
        <w:t>U. Dambis</w:t>
      </w:r>
    </w:p>
    <w:p w:rsidR="00575BDA" w:rsidRDefault="00575BDA" w:rsidP="00575BDA"/>
    <w:p w:rsidR="00575BDA" w:rsidRDefault="00575BDA" w:rsidP="00575BDA">
      <w:r>
        <w:tab/>
      </w:r>
      <w:r>
        <w:tab/>
      </w:r>
      <w:r>
        <w:tab/>
      </w:r>
      <w:r>
        <w:tab/>
      </w:r>
      <w:r>
        <w:tab/>
        <w:t>_____________________</w:t>
      </w:r>
      <w:r>
        <w:tab/>
        <w:t>V. Bulāns</w:t>
      </w:r>
    </w:p>
    <w:p w:rsidR="00575BDA" w:rsidRDefault="00575BDA" w:rsidP="00575BDA"/>
    <w:p w:rsidR="00575BDA" w:rsidRDefault="00575BDA" w:rsidP="00575BDA">
      <w:r>
        <w:tab/>
      </w:r>
      <w:r>
        <w:tab/>
      </w:r>
      <w:r>
        <w:tab/>
      </w:r>
      <w:r>
        <w:tab/>
      </w:r>
      <w:r>
        <w:tab/>
        <w:t>_____________________</w:t>
      </w:r>
      <w:r>
        <w:tab/>
      </w:r>
      <w:r>
        <w:t>E. Kāpa</w:t>
      </w:r>
    </w:p>
    <w:p w:rsidR="000B0B2D" w:rsidRDefault="000B0B2D" w:rsidP="00272811"/>
    <w:p w:rsidR="00B5557C" w:rsidRDefault="00B5557C" w:rsidP="00272811"/>
    <w:p w:rsidR="00272811" w:rsidRDefault="00B5557C" w:rsidP="00272811">
      <w:r>
        <w:tab/>
      </w:r>
      <w:r>
        <w:tab/>
      </w:r>
      <w:r>
        <w:tab/>
      </w:r>
      <w:r>
        <w:tab/>
      </w:r>
      <w:r>
        <w:tab/>
      </w:r>
    </w:p>
    <w:p w:rsidR="00272811" w:rsidRDefault="00272811" w:rsidP="00272811">
      <w:r>
        <w:tab/>
      </w:r>
      <w:r>
        <w:tab/>
      </w:r>
      <w:r>
        <w:tab/>
      </w:r>
      <w:r>
        <w:tab/>
      </w:r>
      <w:r>
        <w:tab/>
      </w:r>
    </w:p>
    <w:p w:rsidR="00272811" w:rsidRDefault="00272811" w:rsidP="00272811"/>
    <w:p w:rsidR="006B6501" w:rsidRDefault="006B6501"/>
    <w:sectPr w:rsidR="006B6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B921A91"/>
    <w:multiLevelType w:val="hybridMultilevel"/>
    <w:tmpl w:val="DA4AE496"/>
    <w:lvl w:ilvl="0" w:tplc="977E3D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
    <w:nsid w:val="600610D7"/>
    <w:multiLevelType w:val="hybridMultilevel"/>
    <w:tmpl w:val="60E25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56B5F"/>
    <w:rsid w:val="000641DF"/>
    <w:rsid w:val="000B0B2D"/>
    <w:rsid w:val="000B465D"/>
    <w:rsid w:val="000C04A9"/>
    <w:rsid w:val="00146516"/>
    <w:rsid w:val="001A579D"/>
    <w:rsid w:val="001D5B3D"/>
    <w:rsid w:val="001E56B8"/>
    <w:rsid w:val="001F4577"/>
    <w:rsid w:val="0020090F"/>
    <w:rsid w:val="00212495"/>
    <w:rsid w:val="00221CA6"/>
    <w:rsid w:val="002402A7"/>
    <w:rsid w:val="002716BB"/>
    <w:rsid w:val="00272811"/>
    <w:rsid w:val="002A1C45"/>
    <w:rsid w:val="002A54C7"/>
    <w:rsid w:val="002A72D5"/>
    <w:rsid w:val="002E66BC"/>
    <w:rsid w:val="003241BF"/>
    <w:rsid w:val="00345649"/>
    <w:rsid w:val="00347760"/>
    <w:rsid w:val="00370CAF"/>
    <w:rsid w:val="003A083C"/>
    <w:rsid w:val="003A14D0"/>
    <w:rsid w:val="003A6914"/>
    <w:rsid w:val="003D78D5"/>
    <w:rsid w:val="003E6729"/>
    <w:rsid w:val="004355BF"/>
    <w:rsid w:val="00442341"/>
    <w:rsid w:val="0045036C"/>
    <w:rsid w:val="0045072A"/>
    <w:rsid w:val="00463D9A"/>
    <w:rsid w:val="004671C4"/>
    <w:rsid w:val="00487F2D"/>
    <w:rsid w:val="004E5A66"/>
    <w:rsid w:val="004F6114"/>
    <w:rsid w:val="005031E1"/>
    <w:rsid w:val="005215A6"/>
    <w:rsid w:val="00553B33"/>
    <w:rsid w:val="00557FC7"/>
    <w:rsid w:val="00570800"/>
    <w:rsid w:val="00575BDA"/>
    <w:rsid w:val="00580D28"/>
    <w:rsid w:val="005D66B5"/>
    <w:rsid w:val="00600BFE"/>
    <w:rsid w:val="006208C5"/>
    <w:rsid w:val="00650725"/>
    <w:rsid w:val="006545B0"/>
    <w:rsid w:val="00677639"/>
    <w:rsid w:val="006852D4"/>
    <w:rsid w:val="006B2C5B"/>
    <w:rsid w:val="006B6501"/>
    <w:rsid w:val="006B68BA"/>
    <w:rsid w:val="006C2C11"/>
    <w:rsid w:val="006C4AC3"/>
    <w:rsid w:val="007079A4"/>
    <w:rsid w:val="007279D9"/>
    <w:rsid w:val="0073103E"/>
    <w:rsid w:val="007540AC"/>
    <w:rsid w:val="00771E3D"/>
    <w:rsid w:val="00785769"/>
    <w:rsid w:val="007A06A6"/>
    <w:rsid w:val="00805173"/>
    <w:rsid w:val="0083447E"/>
    <w:rsid w:val="00844A32"/>
    <w:rsid w:val="00863C22"/>
    <w:rsid w:val="008A2CC0"/>
    <w:rsid w:val="008B4DF1"/>
    <w:rsid w:val="008C3F6F"/>
    <w:rsid w:val="009A1D8F"/>
    <w:rsid w:val="009A6F62"/>
    <w:rsid w:val="009C5AF6"/>
    <w:rsid w:val="009C674F"/>
    <w:rsid w:val="009D16A3"/>
    <w:rsid w:val="009D432E"/>
    <w:rsid w:val="00A47D1F"/>
    <w:rsid w:val="00A871A3"/>
    <w:rsid w:val="00A871CD"/>
    <w:rsid w:val="00A9133A"/>
    <w:rsid w:val="00AA091C"/>
    <w:rsid w:val="00AA3E52"/>
    <w:rsid w:val="00AA6642"/>
    <w:rsid w:val="00AB0913"/>
    <w:rsid w:val="00AE1844"/>
    <w:rsid w:val="00AF1B88"/>
    <w:rsid w:val="00B22AAB"/>
    <w:rsid w:val="00B30B65"/>
    <w:rsid w:val="00B4068D"/>
    <w:rsid w:val="00B52763"/>
    <w:rsid w:val="00B5557C"/>
    <w:rsid w:val="00B67395"/>
    <w:rsid w:val="00B80BB2"/>
    <w:rsid w:val="00B81490"/>
    <w:rsid w:val="00B95BE5"/>
    <w:rsid w:val="00BD1225"/>
    <w:rsid w:val="00BD2B16"/>
    <w:rsid w:val="00BE3CD9"/>
    <w:rsid w:val="00BE502E"/>
    <w:rsid w:val="00BF4D19"/>
    <w:rsid w:val="00C065B8"/>
    <w:rsid w:val="00C26CC0"/>
    <w:rsid w:val="00C9257E"/>
    <w:rsid w:val="00C93910"/>
    <w:rsid w:val="00CB0561"/>
    <w:rsid w:val="00CB1941"/>
    <w:rsid w:val="00D12867"/>
    <w:rsid w:val="00D37DB0"/>
    <w:rsid w:val="00D72790"/>
    <w:rsid w:val="00DB4A36"/>
    <w:rsid w:val="00DB6C6C"/>
    <w:rsid w:val="00DE160A"/>
    <w:rsid w:val="00E0125D"/>
    <w:rsid w:val="00E15504"/>
    <w:rsid w:val="00E33CFC"/>
    <w:rsid w:val="00E460B0"/>
    <w:rsid w:val="00E52257"/>
    <w:rsid w:val="00E604E3"/>
    <w:rsid w:val="00E63A48"/>
    <w:rsid w:val="00E77527"/>
    <w:rsid w:val="00F3097D"/>
    <w:rsid w:val="00F4642A"/>
    <w:rsid w:val="00F85065"/>
    <w:rsid w:val="00FA6B7F"/>
    <w:rsid w:val="00FB3EB1"/>
    <w:rsid w:val="00FB4200"/>
    <w:rsid w:val="00FC462A"/>
    <w:rsid w:val="00FC7C5D"/>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BF4D19"/>
    <w:pPr>
      <w:ind w:left="720"/>
      <w:contextualSpacing/>
    </w:pPr>
  </w:style>
  <w:style w:type="table" w:styleId="TableGrid">
    <w:name w:val="Table Grid"/>
    <w:basedOn w:val="TableNormal"/>
    <w:uiPriority w:val="59"/>
    <w:rsid w:val="0006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BF4D19"/>
    <w:pPr>
      <w:ind w:left="720"/>
      <w:contextualSpacing/>
    </w:pPr>
  </w:style>
  <w:style w:type="table" w:styleId="TableGrid">
    <w:name w:val="Table Grid"/>
    <w:basedOn w:val="TableNormal"/>
    <w:uiPriority w:val="59"/>
    <w:rsid w:val="0006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5879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m.gov.lv/partika/statiskas-lapas/zalais-iepirkums?nid=1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lv/ma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5474</Words>
  <Characters>3121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91</cp:revision>
  <dcterms:created xsi:type="dcterms:W3CDTF">2015-03-19T13:27:00Z</dcterms:created>
  <dcterms:modified xsi:type="dcterms:W3CDTF">2016-04-25T15:35:00Z</dcterms:modified>
</cp:coreProperties>
</file>