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11" w:rsidRDefault="00272811" w:rsidP="00B81490">
      <w:pPr>
        <w:shd w:val="clear" w:color="auto" w:fill="D6E3BC" w:themeFill="accent3" w:themeFillTint="66"/>
        <w:jc w:val="center"/>
        <w:rPr>
          <w:b/>
        </w:rPr>
      </w:pPr>
      <w:r>
        <w:rPr>
          <w:b/>
        </w:rPr>
        <w:t>Ādažu novada domes</w:t>
      </w:r>
    </w:p>
    <w:p w:rsidR="00272811" w:rsidRDefault="00272811" w:rsidP="00B81490">
      <w:pPr>
        <w:shd w:val="clear" w:color="auto" w:fill="D6E3BC" w:themeFill="accent3" w:themeFillTint="66"/>
        <w:jc w:val="center"/>
        <w:rPr>
          <w:b/>
        </w:rPr>
      </w:pPr>
      <w:r>
        <w:rPr>
          <w:b/>
        </w:rPr>
        <w:t>iepirkuma</w:t>
      </w:r>
    </w:p>
    <w:p w:rsidR="00272811" w:rsidRDefault="00272811" w:rsidP="00B81490">
      <w:pPr>
        <w:shd w:val="clear" w:color="auto" w:fill="D6E3BC" w:themeFill="accent3" w:themeFillTint="66"/>
        <w:jc w:val="center"/>
        <w:rPr>
          <w:b/>
          <w:sz w:val="8"/>
          <w:szCs w:val="8"/>
        </w:rPr>
      </w:pPr>
    </w:p>
    <w:p w:rsidR="00272811" w:rsidRDefault="00272811" w:rsidP="00B81490">
      <w:pPr>
        <w:shd w:val="clear" w:color="auto" w:fill="D6E3BC" w:themeFill="accent3" w:themeFillTint="66"/>
        <w:jc w:val="center"/>
        <w:rPr>
          <w:b/>
          <w:sz w:val="28"/>
          <w:szCs w:val="28"/>
        </w:rPr>
      </w:pPr>
      <w:r>
        <w:rPr>
          <w:b/>
          <w:sz w:val="28"/>
          <w:szCs w:val="28"/>
        </w:rPr>
        <w:t>„</w:t>
      </w:r>
      <w:r w:rsidR="00F4642A" w:rsidRPr="00F4642A">
        <w:rPr>
          <w:b/>
          <w:sz w:val="28"/>
          <w:szCs w:val="28"/>
        </w:rPr>
        <w:t>Ēdināšanas</w:t>
      </w:r>
      <w:r w:rsidR="00C9257E">
        <w:rPr>
          <w:b/>
          <w:sz w:val="28"/>
          <w:szCs w:val="28"/>
        </w:rPr>
        <w:t xml:space="preserve"> pakalpojumu nodrošināšana </w:t>
      </w:r>
      <w:r w:rsidR="0036711B">
        <w:rPr>
          <w:b/>
          <w:sz w:val="28"/>
          <w:szCs w:val="28"/>
        </w:rPr>
        <w:t>Ādažu</w:t>
      </w:r>
      <w:r w:rsidR="00F4642A" w:rsidRPr="00F4642A">
        <w:rPr>
          <w:b/>
          <w:sz w:val="28"/>
          <w:szCs w:val="28"/>
        </w:rPr>
        <w:t xml:space="preserve"> pirmsskolas izglītības iestāde</w:t>
      </w:r>
      <w:r>
        <w:rPr>
          <w:b/>
          <w:sz w:val="28"/>
          <w:szCs w:val="28"/>
        </w:rPr>
        <w:t>”</w:t>
      </w:r>
    </w:p>
    <w:p w:rsidR="00272811" w:rsidRDefault="006C2C11" w:rsidP="00B81490">
      <w:pPr>
        <w:shd w:val="clear" w:color="auto" w:fill="D6E3BC" w:themeFill="accent3" w:themeFillTint="66"/>
        <w:jc w:val="center"/>
        <w:rPr>
          <w:b/>
          <w:sz w:val="28"/>
          <w:szCs w:val="28"/>
        </w:rPr>
      </w:pPr>
      <w:r>
        <w:rPr>
          <w:b/>
          <w:sz w:val="28"/>
          <w:szCs w:val="28"/>
        </w:rPr>
        <w:t>(ID.Nr. ĀND 2016/6</w:t>
      </w:r>
      <w:r w:rsidR="00F0456B">
        <w:rPr>
          <w:b/>
          <w:sz w:val="28"/>
          <w:szCs w:val="28"/>
        </w:rPr>
        <w:t>0</w:t>
      </w:r>
      <w:r w:rsidR="00272811">
        <w:rPr>
          <w:b/>
          <w:sz w:val="28"/>
          <w:szCs w:val="28"/>
        </w:rPr>
        <w:t>)</w:t>
      </w:r>
    </w:p>
    <w:p w:rsidR="00272811" w:rsidRDefault="00272811" w:rsidP="00272811">
      <w:pPr>
        <w:jc w:val="center"/>
        <w:rPr>
          <w:sz w:val="8"/>
          <w:szCs w:val="8"/>
        </w:rPr>
      </w:pPr>
    </w:p>
    <w:p w:rsidR="00272811" w:rsidRDefault="00272811" w:rsidP="00272811">
      <w:pPr>
        <w:jc w:val="center"/>
        <w:rPr>
          <w:sz w:val="8"/>
          <w:szCs w:val="8"/>
        </w:rPr>
      </w:pPr>
    </w:p>
    <w:p w:rsidR="00272811" w:rsidRDefault="00272811" w:rsidP="00272811">
      <w:pPr>
        <w:jc w:val="center"/>
      </w:pPr>
      <w:r>
        <w:t>iepirkuma komisijas sēdes</w:t>
      </w:r>
    </w:p>
    <w:p w:rsidR="00272811" w:rsidRDefault="00272811" w:rsidP="00272811">
      <w:pPr>
        <w:rPr>
          <w:sz w:val="8"/>
          <w:szCs w:val="8"/>
        </w:rPr>
      </w:pPr>
    </w:p>
    <w:p w:rsidR="00272811" w:rsidRDefault="00272811" w:rsidP="00272811">
      <w:pPr>
        <w:pStyle w:val="Heading1"/>
        <w:rPr>
          <w:b/>
          <w:bCs/>
          <w:sz w:val="24"/>
        </w:rPr>
      </w:pPr>
      <w:r>
        <w:rPr>
          <w:b/>
          <w:bCs/>
          <w:sz w:val="24"/>
        </w:rPr>
        <w:t>PROTOKOLS</w:t>
      </w:r>
      <w:r w:rsidR="006C2C11">
        <w:rPr>
          <w:b/>
        </w:rPr>
        <w:t xml:space="preserve"> Nr.05-30-2016/6</w:t>
      </w:r>
      <w:r w:rsidR="00F0456B">
        <w:rPr>
          <w:b/>
        </w:rPr>
        <w:t>0</w:t>
      </w:r>
      <w:r w:rsidR="006B2C5B">
        <w:rPr>
          <w:b/>
        </w:rPr>
        <w:t>-</w:t>
      </w:r>
      <w:r w:rsidR="006852D4">
        <w:rPr>
          <w:b/>
        </w:rPr>
        <w:t>2</w:t>
      </w:r>
    </w:p>
    <w:p w:rsidR="00272811" w:rsidRDefault="00272811" w:rsidP="00272811"/>
    <w:tbl>
      <w:tblPr>
        <w:tblW w:w="9322" w:type="dxa"/>
        <w:tblLook w:val="01E0" w:firstRow="1" w:lastRow="1" w:firstColumn="1" w:lastColumn="1" w:noHBand="0" w:noVBand="0"/>
      </w:tblPr>
      <w:tblGrid>
        <w:gridCol w:w="4261"/>
        <w:gridCol w:w="5061"/>
      </w:tblGrid>
      <w:tr w:rsidR="00272811" w:rsidTr="00272811">
        <w:tc>
          <w:tcPr>
            <w:tcW w:w="4261" w:type="dxa"/>
            <w:hideMark/>
          </w:tcPr>
          <w:p w:rsidR="00272811" w:rsidRDefault="00272811">
            <w:r>
              <w:t>Ādažos</w:t>
            </w:r>
          </w:p>
        </w:tc>
        <w:tc>
          <w:tcPr>
            <w:tcW w:w="5061" w:type="dxa"/>
            <w:hideMark/>
          </w:tcPr>
          <w:p w:rsidR="00272811" w:rsidRDefault="004F6114" w:rsidP="004F6114">
            <w:pPr>
              <w:jc w:val="center"/>
            </w:pPr>
            <w:r>
              <w:rPr>
                <w:b/>
              </w:rPr>
              <w:t xml:space="preserve">                  </w:t>
            </w:r>
            <w:r w:rsidR="006208C5">
              <w:rPr>
                <w:b/>
              </w:rPr>
              <w:t>2016</w:t>
            </w:r>
            <w:r w:rsidR="002716BB">
              <w:rPr>
                <w:b/>
              </w:rPr>
              <w:t xml:space="preserve">. gada </w:t>
            </w:r>
            <w:r w:rsidR="009A1D8F">
              <w:rPr>
                <w:b/>
              </w:rPr>
              <w:t>22</w:t>
            </w:r>
            <w:r w:rsidR="00E15504">
              <w:rPr>
                <w:b/>
              </w:rPr>
              <w:t>.aprīlī</w:t>
            </w:r>
          </w:p>
        </w:tc>
      </w:tr>
    </w:tbl>
    <w:p w:rsidR="00272811" w:rsidRDefault="00272811" w:rsidP="00272811">
      <w:pPr>
        <w:pStyle w:val="Heading2"/>
        <w:rPr>
          <w:sz w:val="24"/>
        </w:rPr>
      </w:pPr>
      <w:r>
        <w:rPr>
          <w:b/>
          <w:bCs/>
          <w:sz w:val="24"/>
        </w:rPr>
        <w:t>Sēde sākās:</w:t>
      </w:r>
      <w:r>
        <w:rPr>
          <w:sz w:val="24"/>
        </w:rPr>
        <w:t xml:space="preserve"> </w:t>
      </w:r>
    </w:p>
    <w:p w:rsidR="00272811" w:rsidRDefault="00272811" w:rsidP="00272811">
      <w:pPr>
        <w:pStyle w:val="Heading2"/>
        <w:ind w:firstLine="720"/>
        <w:rPr>
          <w:sz w:val="24"/>
        </w:rPr>
      </w:pPr>
      <w:r>
        <w:rPr>
          <w:sz w:val="24"/>
        </w:rPr>
        <w:t>Komisijas priekšsēdētājs atklāj sēdi</w:t>
      </w:r>
      <w:r w:rsidR="00E15504">
        <w:rPr>
          <w:sz w:val="24"/>
        </w:rPr>
        <w:t xml:space="preserve"> plkst. 10</w:t>
      </w:r>
      <w:r>
        <w:rPr>
          <w:sz w:val="24"/>
        </w:rPr>
        <w:t>.00.</w:t>
      </w:r>
    </w:p>
    <w:p w:rsidR="00272811" w:rsidRDefault="00272811" w:rsidP="00272811">
      <w:pPr>
        <w:jc w:val="both"/>
        <w:rPr>
          <w:b/>
          <w:bCs/>
        </w:rPr>
      </w:pPr>
      <w:r>
        <w:rPr>
          <w:b/>
          <w:bCs/>
        </w:rPr>
        <w:t>Sēdē piedalās:</w:t>
      </w:r>
    </w:p>
    <w:tbl>
      <w:tblPr>
        <w:tblW w:w="0" w:type="auto"/>
        <w:tblInd w:w="648" w:type="dxa"/>
        <w:tblLook w:val="01E0" w:firstRow="1" w:lastRow="1" w:firstColumn="1" w:lastColumn="1" w:noHBand="0" w:noVBand="0"/>
      </w:tblPr>
      <w:tblGrid>
        <w:gridCol w:w="3060"/>
        <w:gridCol w:w="4680"/>
      </w:tblGrid>
      <w:tr w:rsidR="00272811" w:rsidTr="00272811">
        <w:tc>
          <w:tcPr>
            <w:tcW w:w="3060" w:type="dxa"/>
          </w:tcPr>
          <w:p w:rsidR="00272811" w:rsidRDefault="00272811">
            <w:pPr>
              <w:ind w:left="72" w:right="-694"/>
              <w:jc w:val="both"/>
            </w:pPr>
            <w:r>
              <w:t xml:space="preserve">Komisijas priekšsēdētājs: </w:t>
            </w:r>
          </w:p>
          <w:p w:rsidR="00272811" w:rsidRDefault="00272811">
            <w:pPr>
              <w:ind w:left="72" w:right="-694"/>
              <w:jc w:val="both"/>
            </w:pPr>
            <w:r>
              <w:t>Komisijas locekļi:</w:t>
            </w:r>
          </w:p>
          <w:p w:rsidR="00272811" w:rsidRDefault="00272811">
            <w:pPr>
              <w:ind w:left="72" w:right="-694"/>
              <w:jc w:val="both"/>
            </w:pPr>
          </w:p>
          <w:p w:rsidR="00272811" w:rsidRDefault="00272811">
            <w:pPr>
              <w:ind w:left="72" w:right="-694"/>
              <w:jc w:val="both"/>
            </w:pPr>
          </w:p>
          <w:p w:rsidR="00272811" w:rsidRDefault="00272811">
            <w:pPr>
              <w:ind w:left="72" w:right="-694"/>
              <w:jc w:val="both"/>
            </w:pPr>
          </w:p>
        </w:tc>
        <w:tc>
          <w:tcPr>
            <w:tcW w:w="4680" w:type="dxa"/>
            <w:hideMark/>
          </w:tcPr>
          <w:p w:rsidR="006B68BA" w:rsidRDefault="00272811" w:rsidP="00C93910">
            <w:pPr>
              <w:ind w:right="-694"/>
              <w:jc w:val="both"/>
            </w:pPr>
            <w:r>
              <w:t>Artis Brūvers</w:t>
            </w:r>
          </w:p>
          <w:p w:rsidR="00E33CFC" w:rsidRDefault="00E33CFC">
            <w:pPr>
              <w:jc w:val="both"/>
            </w:pPr>
            <w:r>
              <w:t>Rita Šteina</w:t>
            </w:r>
          </w:p>
          <w:p w:rsidR="005D66B5" w:rsidRDefault="005D66B5">
            <w:pPr>
              <w:jc w:val="both"/>
            </w:pPr>
            <w:r>
              <w:t>Halfors Krasts</w:t>
            </w:r>
          </w:p>
          <w:p w:rsidR="00BE502E" w:rsidRDefault="00BE502E">
            <w:pPr>
              <w:jc w:val="both"/>
            </w:pPr>
            <w:r>
              <w:t>Uģis Dambis</w:t>
            </w:r>
          </w:p>
          <w:p w:rsidR="00E33CFC" w:rsidRDefault="00E33CFC">
            <w:pPr>
              <w:jc w:val="both"/>
            </w:pPr>
            <w:r>
              <w:t>Valērijs Bulāns</w:t>
            </w:r>
          </w:p>
          <w:p w:rsidR="00272811" w:rsidRDefault="009A1D8F" w:rsidP="00C93910">
            <w:pPr>
              <w:jc w:val="both"/>
            </w:pPr>
            <w:r>
              <w:t>Everita Kāpa</w:t>
            </w:r>
          </w:p>
        </w:tc>
      </w:tr>
    </w:tbl>
    <w:p w:rsidR="00272811" w:rsidRDefault="00272811" w:rsidP="00272811">
      <w:pPr>
        <w:rPr>
          <w:b/>
        </w:rPr>
      </w:pPr>
      <w:r>
        <w:rPr>
          <w:b/>
        </w:rPr>
        <w:t xml:space="preserve">Komisijas izveides pamats: </w:t>
      </w:r>
    </w:p>
    <w:p w:rsidR="00272811" w:rsidRDefault="00272811" w:rsidP="00BF4D19">
      <w:pPr>
        <w:ind w:left="567" w:right="26"/>
        <w:jc w:val="both"/>
        <w:rPr>
          <w:color w:val="FF0000"/>
        </w:rPr>
      </w:pPr>
      <w:r>
        <w:t xml:space="preserve">Ādažu novada domes 2013.gada 24.septembra </w:t>
      </w:r>
      <w:smartTag w:uri="schemas-tilde-lv/tildestengine" w:element="veidnes">
        <w:smartTagPr>
          <w:attr w:name="id" w:val="-1"/>
          <w:attr w:name="baseform" w:val="lēmums"/>
          <w:attr w:name="text" w:val="lēmums"/>
        </w:smartTagPr>
        <w:r>
          <w:t>lēmums</w:t>
        </w:r>
      </w:smartTag>
      <w:r w:rsidR="000641DF">
        <w:t xml:space="preserve"> Nr. 215</w:t>
      </w:r>
      <w:r>
        <w:t xml:space="preserve"> un Ādažu novada domes 2014.gada 28.jūlija ārkārtas domes sēdes lēmums Nr. 17§ 2.</w:t>
      </w:r>
    </w:p>
    <w:p w:rsidR="00272811" w:rsidRDefault="00272811" w:rsidP="00272811">
      <w:pPr>
        <w:jc w:val="both"/>
      </w:pPr>
      <w:r>
        <w:rPr>
          <w:b/>
          <w:bCs/>
        </w:rPr>
        <w:t>Darba kārtībā:</w:t>
      </w:r>
    </w:p>
    <w:p w:rsidR="00272811" w:rsidRDefault="00BF4D19" w:rsidP="00BF4D19">
      <w:pPr>
        <w:tabs>
          <w:tab w:val="left" w:pos="993"/>
        </w:tabs>
        <w:ind w:left="567"/>
        <w:jc w:val="both"/>
        <w:rPr>
          <w:b/>
        </w:rPr>
      </w:pPr>
      <w:r>
        <w:t>Skaidrojumu sniegšana par i</w:t>
      </w:r>
      <w:r w:rsidR="00272811">
        <w:t xml:space="preserve">epirkuma </w:t>
      </w:r>
      <w:r w:rsidR="00272811" w:rsidRPr="00E77527">
        <w:t>„</w:t>
      </w:r>
      <w:r w:rsidR="00F4642A" w:rsidRPr="00F4642A">
        <w:t>Ēdināšanas</w:t>
      </w:r>
      <w:r w:rsidR="00C9257E">
        <w:t xml:space="preserve"> pakalpojumu nodrošināšana </w:t>
      </w:r>
      <w:r w:rsidR="002E2753">
        <w:t>Ādažu</w:t>
      </w:r>
      <w:r w:rsidR="00F4642A" w:rsidRPr="00F4642A">
        <w:t xml:space="preserve"> pirmsskolas izglītības iestāde</w:t>
      </w:r>
      <w:r w:rsidR="006B68BA" w:rsidRPr="00E77527">
        <w:t>”</w:t>
      </w:r>
      <w:r w:rsidR="00E77527">
        <w:t xml:space="preserve"> </w:t>
      </w:r>
      <w:r w:rsidR="006208C5">
        <w:t>(ID.Nr.: ĀND 2016</w:t>
      </w:r>
      <w:r w:rsidR="006B68BA">
        <w:t>/</w:t>
      </w:r>
      <w:r w:rsidR="006C2C11">
        <w:t>6</w:t>
      </w:r>
      <w:r w:rsidR="002E2753">
        <w:t>0</w:t>
      </w:r>
      <w:r w:rsidR="00272811">
        <w:t xml:space="preserve">) </w:t>
      </w:r>
      <w:r>
        <w:t>nolikumu</w:t>
      </w:r>
      <w:r w:rsidR="00272811">
        <w:t>.</w:t>
      </w:r>
    </w:p>
    <w:p w:rsidR="00272811" w:rsidRDefault="00272811" w:rsidP="00272811">
      <w:pPr>
        <w:jc w:val="both"/>
        <w:rPr>
          <w:b/>
        </w:rPr>
      </w:pPr>
      <w:r>
        <w:rPr>
          <w:b/>
        </w:rPr>
        <w:t>Darba gaita:</w:t>
      </w:r>
    </w:p>
    <w:p w:rsidR="000641DF" w:rsidRDefault="000641DF" w:rsidP="00BF4D19">
      <w:pPr>
        <w:pStyle w:val="ListParagraph"/>
        <w:numPr>
          <w:ilvl w:val="0"/>
          <w:numId w:val="3"/>
        </w:numPr>
        <w:ind w:left="567" w:hanging="567"/>
        <w:jc w:val="both"/>
      </w:pPr>
      <w:r>
        <w:t>E.Kāpa paraksta apliecinājumu par neieinteresētību, jo nepiedalījās iepirkuma izsludināšanas sēdē.</w:t>
      </w:r>
    </w:p>
    <w:p w:rsidR="000641DF" w:rsidRDefault="00E33CFC" w:rsidP="00BF4D19">
      <w:pPr>
        <w:pStyle w:val="ListParagraph"/>
        <w:numPr>
          <w:ilvl w:val="0"/>
          <w:numId w:val="3"/>
        </w:numPr>
        <w:ind w:left="567" w:hanging="567"/>
        <w:jc w:val="both"/>
      </w:pPr>
      <w:r>
        <w:t>R. Šteina</w:t>
      </w:r>
      <w:r w:rsidR="00272811">
        <w:t xml:space="preserve"> </w:t>
      </w:r>
      <w:r w:rsidR="000641DF">
        <w:t xml:space="preserve">ziņo par ieinteresēto pretendentu sagatavotajiem jautājumiem par </w:t>
      </w:r>
      <w:r w:rsidR="00272811">
        <w:t xml:space="preserve">iepirkuma </w:t>
      </w:r>
      <w:r w:rsidR="00C9257E" w:rsidRPr="00E77527">
        <w:t>„</w:t>
      </w:r>
      <w:r w:rsidR="00C9257E" w:rsidRPr="00F4642A">
        <w:t>Ēdināšanas</w:t>
      </w:r>
      <w:r w:rsidR="00C9257E">
        <w:t xml:space="preserve"> pakalpojumu nodrošināšana </w:t>
      </w:r>
      <w:r w:rsidR="002E2753">
        <w:t>Ādažu</w:t>
      </w:r>
      <w:r w:rsidR="00C9257E" w:rsidRPr="00F4642A">
        <w:t xml:space="preserve"> pirmsskolas izglītības iestāde</w:t>
      </w:r>
      <w:r w:rsidR="00C9257E" w:rsidRPr="00E77527">
        <w:t>”</w:t>
      </w:r>
      <w:r w:rsidR="00C9257E">
        <w:t xml:space="preserve"> (ID.Nr.: ĀND 2016/</w:t>
      </w:r>
      <w:r w:rsidR="006C2C11">
        <w:t>6</w:t>
      </w:r>
      <w:r w:rsidR="002E2753">
        <w:t>0</w:t>
      </w:r>
      <w:r w:rsidR="00C9257E">
        <w:t>)</w:t>
      </w:r>
      <w:r w:rsidR="00863C22">
        <w:t xml:space="preserve"> </w:t>
      </w:r>
      <w:r w:rsidR="00272811">
        <w:t>nolikum</w:t>
      </w:r>
      <w:r w:rsidR="000641DF">
        <w:t>u.</w:t>
      </w:r>
    </w:p>
    <w:p w:rsidR="00272811" w:rsidRDefault="000641DF" w:rsidP="00BF4D19">
      <w:pPr>
        <w:pStyle w:val="ListParagraph"/>
        <w:numPr>
          <w:ilvl w:val="0"/>
          <w:numId w:val="3"/>
        </w:numPr>
        <w:ind w:left="567" w:hanging="567"/>
        <w:jc w:val="both"/>
      </w:pPr>
      <w:r>
        <w:t>Komisija iepazīstas ar uzdotajiem jautājumiem un lemj par sniedzamajām atbildēm</w:t>
      </w:r>
      <w:r w:rsidR="00272811">
        <w:t>.</w:t>
      </w:r>
    </w:p>
    <w:p w:rsidR="000641DF" w:rsidRDefault="000641DF" w:rsidP="00BF4D19">
      <w:pPr>
        <w:pStyle w:val="ListParagraph"/>
        <w:numPr>
          <w:ilvl w:val="0"/>
          <w:numId w:val="3"/>
        </w:numPr>
        <w:ind w:left="567" w:hanging="567"/>
        <w:jc w:val="both"/>
      </w:pPr>
      <w:r>
        <w:t>Komisija lemj apstiprināt šādas atbildes:</w:t>
      </w:r>
    </w:p>
    <w:p w:rsidR="000641DF" w:rsidRDefault="000641DF" w:rsidP="000641DF">
      <w:pPr>
        <w:pStyle w:val="ListParagraph"/>
        <w:ind w:left="567"/>
        <w:jc w:val="both"/>
      </w:pPr>
    </w:p>
    <w:tbl>
      <w:tblPr>
        <w:tblStyle w:val="TableGrid"/>
        <w:tblW w:w="8988" w:type="dxa"/>
        <w:tblInd w:w="-459" w:type="dxa"/>
        <w:tblLook w:val="04A0" w:firstRow="1" w:lastRow="0" w:firstColumn="1" w:lastColumn="0" w:noHBand="0" w:noVBand="1"/>
      </w:tblPr>
      <w:tblGrid>
        <w:gridCol w:w="4116"/>
        <w:gridCol w:w="4872"/>
      </w:tblGrid>
      <w:tr w:rsidR="0099778D" w:rsidRPr="00557FC7" w:rsidTr="0099778D">
        <w:tc>
          <w:tcPr>
            <w:tcW w:w="4116" w:type="dxa"/>
            <w:shd w:val="clear" w:color="auto" w:fill="D6E3BC" w:themeFill="accent3" w:themeFillTint="66"/>
          </w:tcPr>
          <w:p w:rsidR="0099778D" w:rsidRPr="00557FC7" w:rsidRDefault="0099778D" w:rsidP="000641DF">
            <w:pPr>
              <w:pStyle w:val="ListParagraph"/>
              <w:ind w:left="0"/>
              <w:jc w:val="both"/>
              <w:rPr>
                <w:b/>
              </w:rPr>
            </w:pPr>
            <w:r w:rsidRPr="00557FC7">
              <w:rPr>
                <w:b/>
              </w:rPr>
              <w:t xml:space="preserve">Jautājums: </w:t>
            </w:r>
          </w:p>
        </w:tc>
        <w:tc>
          <w:tcPr>
            <w:tcW w:w="4872" w:type="dxa"/>
            <w:shd w:val="clear" w:color="auto" w:fill="D6E3BC" w:themeFill="accent3" w:themeFillTint="66"/>
          </w:tcPr>
          <w:p w:rsidR="0099778D" w:rsidRPr="00557FC7" w:rsidRDefault="0099778D" w:rsidP="000641DF">
            <w:pPr>
              <w:pStyle w:val="ListParagraph"/>
              <w:ind w:left="0"/>
              <w:jc w:val="both"/>
              <w:rPr>
                <w:b/>
              </w:rPr>
            </w:pPr>
            <w:r w:rsidRPr="00557FC7">
              <w:rPr>
                <w:b/>
              </w:rPr>
              <w:t>Atbilde:</w:t>
            </w:r>
          </w:p>
        </w:tc>
      </w:tr>
      <w:tr w:rsidR="0099778D" w:rsidTr="0099778D">
        <w:tc>
          <w:tcPr>
            <w:tcW w:w="4116" w:type="dxa"/>
          </w:tcPr>
          <w:p w:rsidR="0099778D" w:rsidRDefault="0099778D" w:rsidP="00800FAE">
            <w:pPr>
              <w:rPr>
                <w:i/>
                <w:iCs/>
              </w:rPr>
            </w:pPr>
            <w:r>
              <w:t xml:space="preserve">Iepirkuma nolikuma 8.4. punkts nosaka: </w:t>
            </w:r>
            <w:r>
              <w:rPr>
                <w:i/>
                <w:iCs/>
              </w:rPr>
              <w:t>“Pretendentam iepriekšējo 3 (trīs) gadu laikā ir vismaz 3 (trīs) gadu (mācību gadi) pieredze ēdināšanas pakalpojumu nodrošināšanā izglītība</w:t>
            </w:r>
            <w:r>
              <w:rPr>
                <w:i/>
                <w:iCs/>
              </w:rPr>
              <w:t>s iestādēs, kurās:</w:t>
            </w:r>
          </w:p>
          <w:p w:rsidR="0099778D" w:rsidRDefault="0099778D" w:rsidP="00800FAE">
            <w:pPr>
              <w:rPr>
                <w:i/>
                <w:iCs/>
              </w:rPr>
            </w:pPr>
            <w:r>
              <w:rPr>
                <w:i/>
                <w:iCs/>
              </w:rPr>
              <w:t>  1)ēdināšana tiek organizēta saskaņā ar 2012.gada 13.marta Ministru kabineta noteikumiem Nr. 172 „Noteikumi par uztura normām izglītības iestāžu izglītojamiem, sociālās aprūpes un sociālās rehabilitācijas institūciju klientiem un ārstniecības iestāžu pacientiem”;</w:t>
            </w:r>
          </w:p>
          <w:p w:rsidR="0099778D" w:rsidRDefault="0099778D" w:rsidP="00800FAE">
            <w:pPr>
              <w:rPr>
                <w:i/>
                <w:iCs/>
              </w:rPr>
            </w:pPr>
            <w:r>
              <w:rPr>
                <w:i/>
                <w:iCs/>
              </w:rPr>
              <w:t xml:space="preserve"> 2)katrā iestādē izglītojamo skaits ir </w:t>
            </w:r>
            <w:r>
              <w:rPr>
                <w:i/>
                <w:iCs/>
              </w:rPr>
              <w:lastRenderedPageBreak/>
              <w:t>vismaz 300;</w:t>
            </w:r>
          </w:p>
          <w:p w:rsidR="0099778D" w:rsidRDefault="0099778D" w:rsidP="00800FAE">
            <w:r>
              <w:rPr>
                <w:i/>
                <w:iCs/>
              </w:rPr>
              <w:t xml:space="preserve"> 3)vismaz viena no šīm izglītības iestādēm ir pirmsskolas izglītības iestāde.”</w:t>
            </w:r>
          </w:p>
          <w:p w:rsidR="0099778D" w:rsidRDefault="0099778D" w:rsidP="00800FAE">
            <w:pPr>
              <w:pStyle w:val="ListParagraph"/>
              <w:ind w:left="0"/>
              <w:jc w:val="both"/>
            </w:pPr>
            <w:r>
              <w:br/>
            </w:r>
            <w:r>
              <w:rPr>
                <w:b/>
                <w:bCs/>
              </w:rPr>
              <w:t>Jautājums</w:t>
            </w:r>
            <w:r>
              <w:t xml:space="preserve">: Viss nolikuma punkta formulējumi liek saprast, ka tā ir kvalifikācijas prasība, kas nosaka, ka pretendentam jābūt pieredzei vairāk kā 1 (vienā) mācību iestādē – par to liecina 2) un 3) apakšpunkti, bet tas nav skaidri norādīts. Pretējā gadījumā pašreizējais Iepirkuma nolikuma 8.4. punkta formulējums rada situāciju: ja pretendents A pakalpojumu sniedz tikai 1 PII, kurā izglītojamo skaits ir 300, bet pretendents B pakalpojumu sniedz 10 vietās (skolas un PII), kur 9 vietās izglītojamo skaits </w:t>
            </w:r>
            <w:proofErr w:type="gramStart"/>
            <w:r>
              <w:t>ir vairāk kā</w:t>
            </w:r>
            <w:proofErr w:type="gramEnd"/>
            <w:r>
              <w:t xml:space="preserve"> 300 bērni, bet vienā 290 bērni, tad pretendents A kvalificējas, bet pretendents B iepirkumam nekvalificējas. Ja kādam no pretendentiem ir 3 PII, kas atrodas blakus un katrā no tām ir 200-250 bērni, vai šāds pretendents kvalificējas iepirkumam? Ar ko šāda pretendenta piedāvājums ir sliktāks par tāda pretendenta piedāvājumu, kuram ir tikai 1 PII ar 300 bērniem?</w:t>
            </w:r>
            <w:r>
              <w:br/>
            </w:r>
          </w:p>
        </w:tc>
        <w:tc>
          <w:tcPr>
            <w:tcW w:w="4872" w:type="dxa"/>
            <w:shd w:val="clear" w:color="auto" w:fill="D6E3BC" w:themeFill="accent3" w:themeFillTint="66"/>
          </w:tcPr>
          <w:p w:rsidR="0099778D" w:rsidRDefault="0099778D" w:rsidP="008F073F">
            <w:pPr>
              <w:tabs>
                <w:tab w:val="left" w:pos="709"/>
                <w:tab w:val="num" w:pos="1080"/>
                <w:tab w:val="left" w:pos="1134"/>
              </w:tabs>
              <w:jc w:val="both"/>
            </w:pPr>
            <w:r>
              <w:lastRenderedPageBreak/>
              <w:t>Nolikuma 8.4.punkta prasība ir skaidri formulēta un skaidri saprotama. Jūsu aprakstītajos piemēros nolikuma 8.4.punkta prasībām kvalificējas gan persona A gan arī</w:t>
            </w:r>
            <w:proofErr w:type="gramStart"/>
            <w:r>
              <w:t xml:space="preserve">  </w:t>
            </w:r>
            <w:proofErr w:type="gramEnd"/>
            <w:r>
              <w:t xml:space="preserve">personas B, bet nekvalificējas persona, kas vienlaikus sniedz pakalpojumus vairākām blakus esošām pirmsskolas izglītības iestādēm, kurās izglītojamo skaits ir 200-250 bērni. Pasūtītāja vēlme ir, lai iespējamajam pretendentam būtu kvantitatīva pieredze termiņā (vismaz 3 mācību gadi vienā iestādē vai summēti mācību gadi vairākas iestādēs) un līdzvērtīgā klientu apjomā (vismaz 300 bērni vienā iestādē), kas nozīmētu, ka pretendents jau iepriekš būtu saskāries ar līdzīga apjoma klientu </w:t>
            </w:r>
            <w:r>
              <w:lastRenderedPageBreak/>
              <w:t>apkalpošanu vienas ēdināšanas sistēmas ietvaros, kā arī pastiprinājis šo pieredzi, realizējot šādu līgumu vienā pirmsskolas izglītības iestādē vairākus gadus pēc kārtas vai paralēli vairākās izglītības iestādēs, kur vismaz viena no tām ir pirmsskolas izglītības iestāde. Attiecīgās kvalifikācijas apmērs ir noteikts, ievērojot pasūtītāja vēlmi maksimāli samazināt nekvalitatīvas līguma izpildes risku, piesaistot pieredzējušu pakalpojuma sniedzēju.</w:t>
            </w:r>
          </w:p>
        </w:tc>
      </w:tr>
      <w:tr w:rsidR="0099778D" w:rsidTr="0099778D">
        <w:tc>
          <w:tcPr>
            <w:tcW w:w="4116" w:type="dxa"/>
          </w:tcPr>
          <w:p w:rsidR="0099778D" w:rsidRDefault="0099778D" w:rsidP="000641DF">
            <w:pPr>
              <w:pStyle w:val="ListParagraph"/>
              <w:ind w:left="0"/>
              <w:jc w:val="both"/>
            </w:pPr>
            <w:r>
              <w:lastRenderedPageBreak/>
              <w:t xml:space="preserve">Iepirkuma nolikuma 14.1. punktā noteikti vērtēšanas kritēriji saimnieciski visizdevīgākā piedāvājuma noteikšanai. 1. vērtēšanas kritērijs (35 punkti) nosaka, kas maksimālais punktu skaits tiek piešķirts Pretendentam par veselīgākajiem un sabalansētākajiem kompleksiem, kas atbilst 2012.gada 13.marta Ministru kabineta noteikumu Nr. 172 „Noteikumi par uztura normām izglītības iestāžu izglītojamiem, sociālās aprūpes un sociālās rehabilitācijas institūciju klientiem un ārstniecības iestāžu pacientiem” prasībām. </w:t>
            </w:r>
            <w:r>
              <w:br/>
            </w:r>
            <w:r>
              <w:br/>
            </w:r>
            <w:r>
              <w:rPr>
                <w:b/>
                <w:bCs/>
              </w:rPr>
              <w:t>Jautājums:</w:t>
            </w:r>
            <w:r>
              <w:t xml:space="preserve"> Kādi ir salīdzināšanas kritēriji, kas noteiks, ka viena ēdienkarte ir veselīgāka un sabalansētāka par otru, ja abas ēdienkartes atbilst MK noteikumiem?</w:t>
            </w:r>
            <w:r>
              <w:br/>
            </w:r>
          </w:p>
        </w:tc>
        <w:tc>
          <w:tcPr>
            <w:tcW w:w="4872" w:type="dxa"/>
            <w:shd w:val="clear" w:color="auto" w:fill="D6E3BC" w:themeFill="accent3" w:themeFillTint="66"/>
          </w:tcPr>
          <w:p w:rsidR="0099778D" w:rsidRDefault="0099778D" w:rsidP="004355BF">
            <w:pPr>
              <w:tabs>
                <w:tab w:val="left" w:pos="709"/>
                <w:tab w:val="num" w:pos="1080"/>
                <w:tab w:val="left" w:pos="1134"/>
              </w:tabs>
              <w:jc w:val="both"/>
            </w:pPr>
            <w:r>
              <w:t xml:space="preserve">Nolikuma 14.1.punktā ir skaidri noteikta piedāvājuma izvērtēšanas kārtība attiecīgā kritērija ietvaros. Noteikts, ka </w:t>
            </w:r>
            <w:r>
              <w:rPr>
                <w:color w:val="000000"/>
              </w:rPr>
              <w:t>ēdienkartes tiks savstarpēji salīdzinātas un viskvalitatīvāk izstrādātajām ēdienkartēm</w:t>
            </w:r>
            <w:r w:rsidRPr="00590E6A">
              <w:rPr>
                <w:color w:val="000000"/>
              </w:rPr>
              <w:t xml:space="preserve"> ti</w:t>
            </w:r>
            <w:r>
              <w:rPr>
                <w:color w:val="000000"/>
              </w:rPr>
              <w:t>ks</w:t>
            </w:r>
            <w:r w:rsidRPr="00590E6A">
              <w:rPr>
                <w:color w:val="000000"/>
              </w:rPr>
              <w:t xml:space="preserve"> piešķirts maksimālais punktu skaits – 3</w:t>
            </w:r>
            <w:r>
              <w:rPr>
                <w:color w:val="000000"/>
              </w:rPr>
              <w:t>5</w:t>
            </w:r>
            <w:r w:rsidRPr="00590E6A">
              <w:rPr>
                <w:color w:val="000000"/>
              </w:rPr>
              <w:t>. Pērējām ēdienkartēm punktu skaits tiek piešķirts, i</w:t>
            </w:r>
            <w:r w:rsidRPr="00590E6A">
              <w:t>zmantojot salīdzināšanas metodi (salīdzināšanas solis 5), piešķirot mazāku punktu skaitu.</w:t>
            </w:r>
            <w:r>
              <w:t xml:space="preserve"> Norādām, ka p</w:t>
            </w:r>
            <w:r w:rsidRPr="00590E6A">
              <w:t>retendentiem piešķirto punktu skaits var būt vienāds</w:t>
            </w:r>
            <w:r>
              <w:t xml:space="preserve">, </w:t>
            </w:r>
            <w:r w:rsidRPr="00590E6A">
              <w:t>arī 3</w:t>
            </w:r>
            <w:r>
              <w:t>5</w:t>
            </w:r>
            <w:r w:rsidRPr="00590E6A">
              <w:t xml:space="preserve"> punktu novērtējums var tikt </w:t>
            </w:r>
            <w:r>
              <w:t xml:space="preserve">piešķirts vairākām ēdienkartēm. </w:t>
            </w:r>
          </w:p>
          <w:p w:rsidR="0099778D" w:rsidRDefault="0099778D" w:rsidP="008B4DF1">
            <w:pPr>
              <w:tabs>
                <w:tab w:val="left" w:pos="709"/>
                <w:tab w:val="num" w:pos="1080"/>
                <w:tab w:val="left" w:pos="1134"/>
              </w:tabs>
              <w:jc w:val="both"/>
            </w:pPr>
            <w:r>
              <w:t xml:space="preserve">Jebkurā gadījumā, ja pretendents piedāvājumā ir iekļāvis korekti sastādītas ēdienkartes un to tehnoloģiskās kartes, kas atbilst 2012.gada 13.marta Ministru kabineta noteikumu Nr. 172 „Noteikumi par uztura normām izglītības iestāžu izglītojamiem, sociālās aprūpes un sociālās rehabilitācijas institūciju klientiem un ārstniecības iestāžu pacientiem” noteikumiem, komisija tam piešķirs maksimālos paredzētos </w:t>
            </w:r>
            <w:r>
              <w:lastRenderedPageBreak/>
              <w:t xml:space="preserve">punktus. Savukārt, ja kādu pretendentu sastādītajās ēdienkartēs un to tehnoloģiskajās kartēs būs tehniskas neatbilstības un/vai neatbilstības minēto Ministru kabineta noteikumu regulējumam, komisija vērtēs šo neatbilstību būtiskumu un piešķiramo punktu skaitu pretendentam, veicot arī savstarpēju pretendentu piedāvājumu salīdzināšanu (proporcionalitātes princips). </w:t>
            </w:r>
          </w:p>
          <w:p w:rsidR="0099778D" w:rsidRDefault="0099778D" w:rsidP="003A6914">
            <w:pPr>
              <w:tabs>
                <w:tab w:val="left" w:pos="709"/>
                <w:tab w:val="num" w:pos="1080"/>
                <w:tab w:val="left" w:pos="1134"/>
              </w:tabs>
              <w:jc w:val="both"/>
            </w:pPr>
            <w:r>
              <w:t xml:space="preserve">Vēršam uzmanību, ka pasūtītājs būs nodrošinājis, lai pretendentu iesniegtās ēdienkartes un to tehnoloģiskās kartes izvērtētu kompetenta komisija (tiks nodrošināts arī pārtikas tehnologa – eksperta atbalsts), tiks nodrošināta piešķirto lēmumu detalizēta argumentācijas pieejamība (piedāvājumu izvērtēšanas protokolos un paziņojumā par iepirkuma rezultātiem) un subjektīvo tiesību pārkāpuma konstatācijas gadījumā pretendentiem būs tiesības Publisko iepirkumu likumā noteiktajā kārtībā nodrošināt savu tiesību aizsardzību. </w:t>
            </w:r>
          </w:p>
        </w:tc>
      </w:tr>
      <w:tr w:rsidR="0099778D" w:rsidTr="0099778D">
        <w:tc>
          <w:tcPr>
            <w:tcW w:w="4116" w:type="dxa"/>
          </w:tcPr>
          <w:p w:rsidR="0099778D" w:rsidRDefault="0099778D" w:rsidP="00F85065">
            <w:pPr>
              <w:jc w:val="both"/>
            </w:pPr>
            <w:r>
              <w:lastRenderedPageBreak/>
              <w:t>2. vērtēšanas kritērijs (30 punkti) nosaka, ka maksimālais punktu skaits tiek piešķirts Pretendentam ja 50 un vairāk dažādi produkti tiks piegādāti no ražotājiem un tirgotājiem, kas atrodas 20 km rādiusā no Ādažu pirmsskolas izglītības iestādes atrašanās vietas.</w:t>
            </w:r>
            <w:r>
              <w:br/>
            </w:r>
            <w:r>
              <w:br/>
            </w:r>
            <w:r>
              <w:rPr>
                <w:b/>
                <w:bCs/>
              </w:rPr>
              <w:t>Jautājumi:</w:t>
            </w:r>
            <w:r>
              <w:t xml:space="preserve"> Kā tiks noteikts attālums līdz piegādātāja atrašanās vietai Rīgā? </w:t>
            </w:r>
          </w:p>
          <w:p w:rsidR="0099778D" w:rsidRDefault="0099778D" w:rsidP="00F85065">
            <w:pPr>
              <w:pStyle w:val="ListParagraph"/>
              <w:ind w:left="0"/>
              <w:jc w:val="both"/>
            </w:pPr>
            <w:r>
              <w:t>Vai tas ir attālums līdz Rīgas administratīvās teritorijas robežai, vai arī ir jāmeklē oficiāli avoti, kas norāda precīzu attālumu līdz konkrētajai ielai Rīgā?</w:t>
            </w:r>
            <w:r>
              <w:br/>
              <w:t>Kādi avoti ir atzīstami par autoritatīviem precīzai attāluma noteikšanai?</w:t>
            </w:r>
            <w:r>
              <w:br/>
            </w:r>
          </w:p>
        </w:tc>
        <w:tc>
          <w:tcPr>
            <w:tcW w:w="4872" w:type="dxa"/>
            <w:shd w:val="clear" w:color="auto" w:fill="D6E3BC" w:themeFill="accent3" w:themeFillTint="66"/>
          </w:tcPr>
          <w:p w:rsidR="0099778D" w:rsidRDefault="0099778D" w:rsidP="002E2753">
            <w:pPr>
              <w:pStyle w:val="ListParagraph"/>
              <w:ind w:left="0"/>
              <w:jc w:val="both"/>
            </w:pPr>
            <w:r>
              <w:t xml:space="preserve">Saskaņā ar nolikuma 10.2. 9) apakšpunktā paredzēto, pretendentiem ir jāiekļauj piedāvājumā konkrēta informācija par produktiem, kuri tiks piegādāti no ražotājiem un tirgotājiem, kas atrodas 20 km rādiusā no Ādažu pirmsskolas izglītības iestādes atrašanās vietas. Tostarp jānorāda arī ražotāja vai tirgotāja adrese un jānorāda attālums kilometros no Ādažu pirmsskolas izglītības iestādes. Piedāvājumu izvērtēšanas gaitā komisija izvērtēs pašu pretendentu sniegto informāciju par attālumu, šaubu gadījumā pārbaudīs attiecīgās informācijas patiesumu. Komisija norāda, ka šaubu gadījumā tiks ņemts vērā īsākais auto maršruta attālums starp divām adresēm programmā </w:t>
            </w:r>
            <w:hyperlink r:id="rId6" w:history="1">
              <w:r w:rsidRPr="003908D6">
                <w:rPr>
                  <w:rStyle w:val="Hyperlink"/>
                </w:rPr>
                <w:t>https://www.google.lv/maps</w:t>
              </w:r>
            </w:hyperlink>
            <w:r>
              <w:t xml:space="preserve">. </w:t>
            </w:r>
          </w:p>
        </w:tc>
      </w:tr>
      <w:tr w:rsidR="0099778D" w:rsidTr="0099778D">
        <w:tc>
          <w:tcPr>
            <w:tcW w:w="4116" w:type="dxa"/>
          </w:tcPr>
          <w:p w:rsidR="0099778D" w:rsidRDefault="0099778D" w:rsidP="000641DF">
            <w:pPr>
              <w:pStyle w:val="ListParagraph"/>
              <w:ind w:left="0"/>
              <w:jc w:val="both"/>
            </w:pPr>
            <w:r>
              <w:t>Iepirkuma nolikuma 14.1. punktā noteikti vērtēšanas kritēriji saimnieciski visizdevīgākā piedāvājuma noteikšanai. 7. vērtēšanas kritērijs paredz punktu piešķiršanu par finanšu piedāvājumu.</w:t>
            </w:r>
            <w:r>
              <w:br/>
            </w:r>
            <w:r>
              <w:br/>
            </w:r>
            <w:r>
              <w:rPr>
                <w:b/>
                <w:bCs/>
              </w:rPr>
              <w:t>Jautājums</w:t>
            </w:r>
            <w:r>
              <w:t>: Kāda ēdināšanas maksa par 1 dienu tiks ņemta vērā (summa bez PVN vai summa ar PVN)?</w:t>
            </w:r>
          </w:p>
        </w:tc>
        <w:tc>
          <w:tcPr>
            <w:tcW w:w="4872" w:type="dxa"/>
            <w:shd w:val="clear" w:color="auto" w:fill="D6E3BC" w:themeFill="accent3" w:themeFillTint="66"/>
          </w:tcPr>
          <w:p w:rsidR="0099778D" w:rsidRDefault="0099778D" w:rsidP="00AB0913">
            <w:pPr>
              <w:pStyle w:val="ListParagraph"/>
              <w:ind w:left="0"/>
              <w:jc w:val="both"/>
              <w:rPr>
                <w:color w:val="000000"/>
              </w:rPr>
            </w:pPr>
            <w:r>
              <w:t xml:space="preserve">Pasūtītājs piedāvājumu izvērtēšanā ņems vērā </w:t>
            </w:r>
            <w:r w:rsidRPr="00071582">
              <w:rPr>
                <w:color w:val="000000"/>
              </w:rPr>
              <w:t xml:space="preserve">vienas dienas ēdināšanas </w:t>
            </w:r>
            <w:r>
              <w:rPr>
                <w:color w:val="000000"/>
              </w:rPr>
              <w:t xml:space="preserve">pakalpoju cenu vienam bērnam bez PVN. </w:t>
            </w:r>
          </w:p>
          <w:p w:rsidR="0099778D" w:rsidRDefault="0099778D" w:rsidP="002E2753">
            <w:pPr>
              <w:pStyle w:val="ListParagraph"/>
              <w:ind w:left="0"/>
              <w:jc w:val="both"/>
            </w:pPr>
            <w:r>
              <w:rPr>
                <w:color w:val="000000"/>
              </w:rPr>
              <w:t xml:space="preserve">Jāņem vērā, ka visu vecumu bērniem Ādažu pirmsskolas izglītības iestādē jānodrošina vienāda ēdināšana, nenodalot atšķirīgu ēdināšanu un samazinātas porcijas bērniem vecumā no 1-2 gadiem, līdz ar to visu vecumu grupu bērnu ēdināšanas izmaksām ir jābūt vienādām. </w:t>
            </w:r>
          </w:p>
        </w:tc>
      </w:tr>
      <w:tr w:rsidR="0099778D" w:rsidTr="0099778D">
        <w:tc>
          <w:tcPr>
            <w:tcW w:w="4116" w:type="dxa"/>
          </w:tcPr>
          <w:p w:rsidR="0099778D" w:rsidRDefault="0099778D" w:rsidP="005E6437">
            <w:pPr>
              <w:pStyle w:val="ListParagraph"/>
              <w:ind w:left="0"/>
              <w:jc w:val="both"/>
            </w:pPr>
            <w:r>
              <w:t xml:space="preserve">Iepirkuma nolikuma 10.2 punkta 3. </w:t>
            </w:r>
            <w:r>
              <w:lastRenderedPageBreak/>
              <w:t xml:space="preserve">apakšpunkts nosaka: “Pretendenta apliecinājuma (brīvā formā), ka Pretendents līguma darbības laikā sniegs ēdināšanas pakalpojumus un vismaz 50% (piecdesmit procenti) no ēdienkartē izmantotajiem dārzeņiem, augļiem un ogām atbildīs lauksaimniecības produktu integrētās audzēšanas vai bioloģiskās lauksaimniecības prasībām, ņemot vērā to sezonalitāti un pieejamību tirgū, kā arī ievērojot Zemkopības ministrijas izstrādāto vietējo dārzeņu, augļu un ogu pieejamības kalendāru, kas ir publicēts: </w:t>
            </w:r>
            <w:hyperlink r:id="rId7" w:anchor="jump" w:history="1">
              <w:r>
                <w:rPr>
                  <w:rStyle w:val="Hyperlink"/>
                </w:rPr>
                <w:t>https://www.zm.gov.lv/partika/statiskas-lapas/zalais-iepirkums?nid=1114#jump</w:t>
              </w:r>
            </w:hyperlink>
            <w:r>
              <w:t>” Tajā pat laikā Iepirkuma nolikuma 10.2 punkta 7. apakšpunkts prasa iesniegt informāciju par produktiem, kas atbilsts NPKS; BL; LPIA prasībām, tos sagrupējot trīs atsevišķās tabulās.</w:t>
            </w:r>
          </w:p>
          <w:p w:rsidR="0099778D" w:rsidRDefault="0099778D" w:rsidP="005E6437">
            <w:pPr>
              <w:pStyle w:val="ListParagraph"/>
              <w:ind w:left="0"/>
              <w:jc w:val="both"/>
              <w:rPr>
                <w:b/>
                <w:bCs/>
              </w:rPr>
            </w:pPr>
          </w:p>
          <w:p w:rsidR="0099778D" w:rsidRDefault="0099778D" w:rsidP="005E6437">
            <w:pPr>
              <w:pStyle w:val="ListParagraph"/>
              <w:ind w:left="0"/>
              <w:jc w:val="both"/>
            </w:pPr>
            <w:r>
              <w:rPr>
                <w:b/>
                <w:bCs/>
              </w:rPr>
              <w:t>Jautājums:</w:t>
            </w:r>
            <w:r>
              <w:t xml:space="preserve"> Vai ir kāds iemesls, ka minētajā punktā no apliecinājuma tiek izslēgti produkti, kas atbilst nacionālās pārtikas kvalitātes shēmas prasībām un ir nepieciešams apliecināt tikai to, ka ēdienkartē izmantotos dārzeņus, augļus un ogas, kas atbilst lauksaimniecības produktu integrētās audzēšanas vai bioloģiskās lauksaimniecības prasībām?</w:t>
            </w:r>
          </w:p>
        </w:tc>
        <w:tc>
          <w:tcPr>
            <w:tcW w:w="4872" w:type="dxa"/>
            <w:shd w:val="clear" w:color="auto" w:fill="D6E3BC" w:themeFill="accent3" w:themeFillTint="66"/>
          </w:tcPr>
          <w:p w:rsidR="0099778D" w:rsidRDefault="0099778D" w:rsidP="005E6437">
            <w:pPr>
              <w:pStyle w:val="ListParagraph"/>
              <w:ind w:left="0"/>
              <w:jc w:val="both"/>
            </w:pPr>
            <w:r>
              <w:lastRenderedPageBreak/>
              <w:t xml:space="preserve">Pasūtītājs plāno pakāpenisku pāreju uz </w:t>
            </w:r>
            <w:r>
              <w:lastRenderedPageBreak/>
              <w:t xml:space="preserve">paaugstinātu prasību ieviešanu izglītojamo ēdināšanā Ādažu novadā, tādējādi nodrošinot arī to, ka ēdināšanas cenas attiecībā pret iepriekšējo ēdināšanas pakalpojumu sniedzēju nodrošinātajām cenām (kad pakalpojumu tehniskajā specifikācijās netika iekļautas prasības attiecībā uz pārtikas produktu paaugstinātu kvalitāti) pieaug pakāpeniski. Tādējādi attiecīgajā pārejas periodā pasūtītājs ir lēmis par paaugstinātu prasību attiecināšanu attiecībā uz vismaz 50% ēdienkartē izmantojamiem dārzeņiem, augļiem un ogām. Vēršam uzmanību, ka nolikuma 10.2.punkta 3.apakšpunkts tehniskas kļūdas pēc nemin produktus, kas atbilst </w:t>
            </w:r>
            <w:r w:rsidRPr="005D5CE8">
              <w:rPr>
                <w:lang w:eastAsia="lv-LV"/>
              </w:rPr>
              <w:t>nacionālās pārtikas kvalitātes shēmas (NPKS) prasībām</w:t>
            </w:r>
            <w:r>
              <w:rPr>
                <w:lang w:eastAsia="lv-LV"/>
              </w:rPr>
              <w:t xml:space="preserve">. Piedāvājumu izvērtēšanas gaitā komisija ņems vērā visu informāciju, ko pretendents būs iesniedzis saskaņā ar </w:t>
            </w:r>
            <w:r>
              <w:t>nolikuma 10.2 7) apakšpunktu.</w:t>
            </w:r>
          </w:p>
        </w:tc>
      </w:tr>
      <w:tr w:rsidR="0099778D" w:rsidTr="0099778D">
        <w:tc>
          <w:tcPr>
            <w:tcW w:w="4116" w:type="dxa"/>
          </w:tcPr>
          <w:p w:rsidR="0099778D" w:rsidRDefault="0099778D" w:rsidP="005E6437">
            <w:pPr>
              <w:pStyle w:val="ListParagraph"/>
              <w:ind w:left="0"/>
              <w:jc w:val="both"/>
            </w:pPr>
            <w:r>
              <w:lastRenderedPageBreak/>
              <w:t xml:space="preserve">Tehniskajā piedāvājumā 12. punkts: ēdienkartes 5 dienām. Vai ēdienkartes jāiesniedz  atbilstoši MK Nr. 172 abām vecuma grupām 1-2 g un 3-6 g vecuma grupām </w:t>
            </w:r>
            <w:proofErr w:type="spellStart"/>
            <w:r>
              <w:t>t.i</w:t>
            </w:r>
            <w:proofErr w:type="spellEnd"/>
            <w:r>
              <w:t xml:space="preserve"> kopā 10 dienu ēdienkartes un vai tām ir jābūt vienas nedēļas vai atšķirīgām.</w:t>
            </w:r>
            <w:r>
              <w:br/>
            </w:r>
            <w:r>
              <w:br/>
            </w:r>
          </w:p>
        </w:tc>
        <w:tc>
          <w:tcPr>
            <w:tcW w:w="4872" w:type="dxa"/>
            <w:shd w:val="clear" w:color="auto" w:fill="D6E3BC" w:themeFill="accent3" w:themeFillTint="66"/>
          </w:tcPr>
          <w:p w:rsidR="0099778D" w:rsidRDefault="0099778D" w:rsidP="005E6437">
            <w:pPr>
              <w:pStyle w:val="ListParagraph"/>
              <w:ind w:left="0"/>
              <w:jc w:val="both"/>
            </w:pPr>
            <w:r>
              <w:rPr>
                <w:color w:val="000000"/>
              </w:rPr>
              <w:t>Jāņem vērā, ka visu vecumu bērniem Ādažu pirmsskolas izglītības iestādē jānodrošina vienāda ēdināšana, nenodalot atšķirīgu ēdināšanu un samazinātas porcijas bērniem vecumā no 1-2 gadiem, līdz ar to visu vecumu grupu bērnu ēdināšanas izmaksām ir jābūt vienādām. Tādējādi saprotams, ka jāiesniedz ēdienkartes 5 dienām.</w:t>
            </w:r>
          </w:p>
        </w:tc>
      </w:tr>
      <w:tr w:rsidR="0099778D" w:rsidTr="005E6437">
        <w:tc>
          <w:tcPr>
            <w:tcW w:w="4116" w:type="dxa"/>
          </w:tcPr>
          <w:p w:rsidR="0099778D" w:rsidRDefault="0099778D" w:rsidP="005E6437">
            <w:pPr>
              <w:pStyle w:val="ListParagraph"/>
              <w:ind w:left="0"/>
              <w:jc w:val="both"/>
            </w:pPr>
            <w:r>
              <w:t xml:space="preserve">Tehniskajā piedāvājumā 12. punkts: ēdienkartes 5 dienām. Vai ēdienkartes jāiesniedz  atbilstoši MK Nr. 172 abām vecuma grupām 1-2 g un 3-6 g vecuma grupām </w:t>
            </w:r>
            <w:proofErr w:type="spellStart"/>
            <w:r>
              <w:t>t.i</w:t>
            </w:r>
            <w:proofErr w:type="spellEnd"/>
            <w:r>
              <w:t xml:space="preserve"> kopā 10 dienu ēdienkartes un vai tām ir jābūt vienas nedēļas vai atšķirīgām.</w:t>
            </w:r>
            <w:r>
              <w:br/>
            </w:r>
            <w:r>
              <w:br/>
            </w:r>
          </w:p>
        </w:tc>
        <w:tc>
          <w:tcPr>
            <w:tcW w:w="4872" w:type="dxa"/>
            <w:shd w:val="clear" w:color="auto" w:fill="D6E3BC" w:themeFill="accent3" w:themeFillTint="66"/>
          </w:tcPr>
          <w:p w:rsidR="0099778D" w:rsidRDefault="0099778D" w:rsidP="005E6437">
            <w:pPr>
              <w:pStyle w:val="ListParagraph"/>
              <w:ind w:left="0"/>
              <w:jc w:val="both"/>
            </w:pPr>
            <w:r>
              <w:rPr>
                <w:color w:val="000000"/>
              </w:rPr>
              <w:t>Jāņem vērā, ka visu vecumu bērniem Ādažu pirmsskolas izglītības iestādē jānodrošina vienāda ēdināšana, nenodalot atšķirīgu ēdināšanu un samazinātas porcijas bērniem vecumā no 1-2 gadiem, līdz ar to visu vecumu grupu bērnu ēdināšanas izmaksām ir jābūt vienādām. Tādējādi saprotams, ka jāiesniedz ēdienkartes 5 dienām.</w:t>
            </w:r>
          </w:p>
        </w:tc>
      </w:tr>
      <w:tr w:rsidR="00854530" w:rsidTr="005E6437">
        <w:tc>
          <w:tcPr>
            <w:tcW w:w="4116" w:type="dxa"/>
          </w:tcPr>
          <w:p w:rsidR="00854530" w:rsidRDefault="00854530" w:rsidP="00854530">
            <w:r>
              <w:t xml:space="preserve">Jautājums par </w:t>
            </w:r>
            <w:r w:rsidRPr="006F05A8">
              <w:t xml:space="preserve">kvalifikācijas prasībām pretendentam </w:t>
            </w:r>
            <w:r>
              <w:t xml:space="preserve">- </w:t>
            </w:r>
            <w:r w:rsidRPr="006F05A8">
              <w:t xml:space="preserve">punktā 8.6. galvenajam pavāram (šefpavāram) ir jābūt </w:t>
            </w:r>
            <w:r w:rsidRPr="006F05A8">
              <w:lastRenderedPageBreak/>
              <w:t>apmācītam atbilstoši Bērnu tiesību aizsardzības likuma 5.1. panta pirmās daļas noteikumiem (izsniegta apliecība par apmācībām), vai iepirkuma dokumentācijā ir jāiesniedz šī apliecības kopija?</w:t>
            </w:r>
            <w:r>
              <w:t xml:space="preserve"> </w:t>
            </w:r>
          </w:p>
        </w:tc>
        <w:tc>
          <w:tcPr>
            <w:tcW w:w="4872" w:type="dxa"/>
            <w:shd w:val="clear" w:color="auto" w:fill="D6E3BC" w:themeFill="accent3" w:themeFillTint="66"/>
          </w:tcPr>
          <w:p w:rsidR="007B7122" w:rsidRPr="007B2FEA" w:rsidRDefault="007B7122" w:rsidP="007B7122">
            <w:pPr>
              <w:suppressAutoHyphens/>
              <w:snapToGrid w:val="0"/>
              <w:spacing w:beforeLines="80" w:before="192" w:afterLines="80" w:after="192"/>
              <w:jc w:val="both"/>
            </w:pPr>
            <w:r>
              <w:lastRenderedPageBreak/>
              <w:t>N</w:t>
            </w:r>
            <w:r w:rsidR="00854530">
              <w:t xml:space="preserve">olikuma </w:t>
            </w:r>
            <w:r>
              <w:t xml:space="preserve">9.4.punktā noteikts, ka pretendentam jāiesniedz </w:t>
            </w:r>
            <w:proofErr w:type="gramStart"/>
            <w:r>
              <w:rPr>
                <w:bCs/>
              </w:rPr>
              <w:t>p</w:t>
            </w:r>
            <w:r w:rsidRPr="000D2549">
              <w:rPr>
                <w:bCs/>
              </w:rPr>
              <w:t>retendenta piedāvāto speciālistu</w:t>
            </w:r>
            <w:proofErr w:type="gramEnd"/>
            <w:r w:rsidRPr="000D2549">
              <w:rPr>
                <w:bCs/>
              </w:rPr>
              <w:t xml:space="preserve"> </w:t>
            </w:r>
            <w:r w:rsidRPr="000D2549">
              <w:rPr>
                <w:bCs/>
              </w:rPr>
              <w:lastRenderedPageBreak/>
              <w:t>(</w:t>
            </w:r>
            <w:r>
              <w:rPr>
                <w:bCs/>
              </w:rPr>
              <w:t>tostarp arī šefpavāra</w:t>
            </w:r>
            <w:r w:rsidRPr="000D2549">
              <w:rPr>
                <w:bCs/>
              </w:rPr>
              <w:t xml:space="preserve">) CV, kvalifikāciju apliecinoši dokumenti, kā arī informācija par speciālistu pieredzi (Nolikuma </w:t>
            </w:r>
            <w:r w:rsidRPr="00030F17">
              <w:rPr>
                <w:bCs/>
              </w:rPr>
              <w:t>4.pielikums</w:t>
            </w:r>
            <w:r>
              <w:rPr>
                <w:bCs/>
              </w:rPr>
              <w:t>) tādā apjomā, lai apliecinātu atbilstību izvirzītajām kvalifikācijas prasībām.</w:t>
            </w:r>
            <w:r>
              <w:rPr>
                <w:bCs/>
              </w:rPr>
              <w:t xml:space="preserve"> Tādējādi piedāvājumā ir jāiekļauj arī </w:t>
            </w:r>
            <w:r w:rsidR="0045303E">
              <w:rPr>
                <w:bCs/>
              </w:rPr>
              <w:t xml:space="preserve">bērnu tiesību aizsardzības apmācību kursu noklausīšanos apliecinoša dokumenta kopija. </w:t>
            </w:r>
          </w:p>
          <w:p w:rsidR="00854530" w:rsidRDefault="00854530" w:rsidP="005E6437"/>
        </w:tc>
      </w:tr>
      <w:tr w:rsidR="00854530" w:rsidTr="0099778D">
        <w:tc>
          <w:tcPr>
            <w:tcW w:w="4116" w:type="dxa"/>
          </w:tcPr>
          <w:p w:rsidR="00854530" w:rsidRDefault="002D1A9F" w:rsidP="00854530">
            <w:pPr>
              <w:jc w:val="both"/>
              <w:rPr>
                <w:b/>
              </w:rPr>
            </w:pPr>
            <w:r>
              <w:lastRenderedPageBreak/>
              <w:t>J</w:t>
            </w:r>
            <w:r w:rsidR="00854530">
              <w:t xml:space="preserve">autājums par Tehnisko piedāvājumu 9 apakšpunktu, kas paredz informāciju par produktiem, kuri tiks piegādāti no ražotājiem un tirgotājiem, kas atrodas 20 km rādiusā no Ādaži pirmsskolas izglītības iestādes. Tabulā, 3 kolonnā jānorāda Ražotāja/tirgotāja adrese un attālums (km) no Ādažu pirmsskolas izglītības iestādes, jautājums kādu adresi jānorāda- juridisko, faktisko vai noliktavas adresi? Un kā tiks vērtēti attiecīgi km? </w:t>
            </w:r>
          </w:p>
          <w:p w:rsidR="00854530" w:rsidRDefault="00854530" w:rsidP="00854530"/>
        </w:tc>
        <w:tc>
          <w:tcPr>
            <w:tcW w:w="4872" w:type="dxa"/>
            <w:shd w:val="clear" w:color="auto" w:fill="D6E3BC" w:themeFill="accent3" w:themeFillTint="66"/>
          </w:tcPr>
          <w:p w:rsidR="00854530" w:rsidRDefault="002D1A9F" w:rsidP="00E45168">
            <w:r>
              <w:t>Tabulā jānorāda adrese, no kuras</w:t>
            </w:r>
            <w:r w:rsidR="00E45168">
              <w:t xml:space="preserve"> faktiski</w:t>
            </w:r>
            <w:r>
              <w:t xml:space="preserve"> tiks transportēti </w:t>
            </w:r>
            <w:r w:rsidR="00E45168">
              <w:t xml:space="preserve">attiecīgie produkti. </w:t>
            </w:r>
            <w:r>
              <w:t>Kritērija vērtēšanas kārtīb</w:t>
            </w:r>
            <w:r w:rsidR="00E45168">
              <w:t xml:space="preserve">u skatīt </w:t>
            </w:r>
            <w:r>
              <w:t xml:space="preserve">nolikuma </w:t>
            </w:r>
            <w:r w:rsidR="00E45168">
              <w:t xml:space="preserve">14.1.punkta tabulā (2.kritērijs). </w:t>
            </w:r>
          </w:p>
        </w:tc>
      </w:tr>
    </w:tbl>
    <w:p w:rsidR="0099778D" w:rsidRDefault="0099778D" w:rsidP="0099778D">
      <w:pPr>
        <w:jc w:val="both"/>
        <w:rPr>
          <w:b/>
          <w:bCs/>
        </w:rPr>
      </w:pPr>
    </w:p>
    <w:p w:rsidR="00272811" w:rsidRDefault="00272811" w:rsidP="00221CA6">
      <w:pPr>
        <w:shd w:val="clear" w:color="auto" w:fill="D6E3BC" w:themeFill="accent3" w:themeFillTint="66"/>
        <w:jc w:val="both"/>
        <w:rPr>
          <w:b/>
          <w:bCs/>
        </w:rPr>
      </w:pPr>
      <w:r>
        <w:rPr>
          <w:b/>
          <w:bCs/>
        </w:rPr>
        <w:t xml:space="preserve">Komisija </w:t>
      </w:r>
      <w:r w:rsidR="00221CA6">
        <w:rPr>
          <w:b/>
          <w:bCs/>
        </w:rPr>
        <w:t xml:space="preserve">vienbalsīgi </w:t>
      </w:r>
      <w:r>
        <w:rPr>
          <w:b/>
          <w:bCs/>
        </w:rPr>
        <w:t xml:space="preserve">nolemj: </w:t>
      </w:r>
    </w:p>
    <w:p w:rsidR="00272811" w:rsidRPr="00221CA6" w:rsidRDefault="00272811" w:rsidP="00221CA6">
      <w:pPr>
        <w:numPr>
          <w:ilvl w:val="0"/>
          <w:numId w:val="1"/>
        </w:numPr>
        <w:shd w:val="clear" w:color="auto" w:fill="D6E3BC" w:themeFill="accent3" w:themeFillTint="66"/>
        <w:tabs>
          <w:tab w:val="num" w:pos="567"/>
        </w:tabs>
        <w:ind w:left="567" w:hanging="567"/>
        <w:jc w:val="both"/>
        <w:rPr>
          <w:b/>
        </w:rPr>
      </w:pPr>
      <w:r w:rsidRPr="00221CA6">
        <w:rPr>
          <w:b/>
        </w:rPr>
        <w:t xml:space="preserve">Atbalstīt </w:t>
      </w:r>
      <w:r w:rsidR="00D37DB0" w:rsidRPr="00221CA6">
        <w:rPr>
          <w:b/>
        </w:rPr>
        <w:t>sagatavotos skaidrojumus par iepirkuma</w:t>
      </w:r>
      <w:r w:rsidRPr="00221CA6">
        <w:rPr>
          <w:b/>
        </w:rPr>
        <w:t xml:space="preserve"> </w:t>
      </w:r>
      <w:r w:rsidR="00C9257E" w:rsidRPr="00221CA6">
        <w:rPr>
          <w:b/>
        </w:rPr>
        <w:t xml:space="preserve">„Ēdināšanas pakalpojumu nodrošināšana </w:t>
      </w:r>
      <w:r w:rsidR="002E2753">
        <w:rPr>
          <w:b/>
        </w:rPr>
        <w:t>Ādažu</w:t>
      </w:r>
      <w:r w:rsidR="00C9257E" w:rsidRPr="00221CA6">
        <w:rPr>
          <w:b/>
        </w:rPr>
        <w:t xml:space="preserve"> pirmsskolas izglītības iestāde” (ID.Nr.: ĀND 2016/</w:t>
      </w:r>
      <w:r w:rsidR="006C2C11" w:rsidRPr="00221CA6">
        <w:rPr>
          <w:b/>
        </w:rPr>
        <w:t>6</w:t>
      </w:r>
      <w:r w:rsidR="002E2753">
        <w:rPr>
          <w:b/>
        </w:rPr>
        <w:t>0</w:t>
      </w:r>
      <w:r w:rsidR="00C9257E" w:rsidRPr="00221CA6">
        <w:rPr>
          <w:b/>
        </w:rPr>
        <w:t>)</w:t>
      </w:r>
      <w:r w:rsidR="00FB4200" w:rsidRPr="00221CA6">
        <w:rPr>
          <w:b/>
        </w:rPr>
        <w:t xml:space="preserve"> </w:t>
      </w:r>
      <w:r w:rsidR="0083447E" w:rsidRPr="00221CA6">
        <w:rPr>
          <w:b/>
        </w:rPr>
        <w:t>nolikum</w:t>
      </w:r>
      <w:r w:rsidR="00D37DB0" w:rsidRPr="00221CA6">
        <w:rPr>
          <w:b/>
        </w:rPr>
        <w:t>u</w:t>
      </w:r>
      <w:r w:rsidRPr="00221CA6">
        <w:rPr>
          <w:b/>
          <w:i/>
        </w:rPr>
        <w:t>.</w:t>
      </w:r>
    </w:p>
    <w:p w:rsidR="00272811" w:rsidRPr="00221CA6" w:rsidRDefault="00D37DB0" w:rsidP="00221CA6">
      <w:pPr>
        <w:numPr>
          <w:ilvl w:val="0"/>
          <w:numId w:val="1"/>
        </w:numPr>
        <w:shd w:val="clear" w:color="auto" w:fill="D6E3BC" w:themeFill="accent3" w:themeFillTint="66"/>
        <w:tabs>
          <w:tab w:val="num" w:pos="567"/>
        </w:tabs>
        <w:ind w:left="567" w:hanging="567"/>
        <w:jc w:val="both"/>
        <w:rPr>
          <w:b/>
        </w:rPr>
      </w:pPr>
      <w:r w:rsidRPr="00221CA6">
        <w:rPr>
          <w:b/>
        </w:rPr>
        <w:t xml:space="preserve">Publicēt sagatavotos skaidrojumus </w:t>
      </w:r>
      <w:r w:rsidR="00575BDA" w:rsidRPr="00221CA6">
        <w:rPr>
          <w:b/>
        </w:rPr>
        <w:t>ĀND mājaslapā un nosūtīt visiem ieinteresētajiem pretendentiem.</w:t>
      </w:r>
      <w:r w:rsidR="00272811" w:rsidRPr="00221CA6">
        <w:rPr>
          <w:b/>
        </w:rPr>
        <w:t xml:space="preserve"> </w:t>
      </w:r>
    </w:p>
    <w:p w:rsidR="00272811" w:rsidRDefault="00272811" w:rsidP="00F3097D">
      <w:pPr>
        <w:ind w:left="720"/>
        <w:jc w:val="both"/>
      </w:pPr>
    </w:p>
    <w:p w:rsidR="00272811" w:rsidRDefault="00272811" w:rsidP="00272811">
      <w:pPr>
        <w:jc w:val="both"/>
      </w:pPr>
      <w:r>
        <w:rPr>
          <w:b/>
          <w:bCs/>
        </w:rPr>
        <w:t>Sēdi slēdz:</w:t>
      </w:r>
      <w:r>
        <w:t xml:space="preserve"> </w:t>
      </w:r>
    </w:p>
    <w:p w:rsidR="00272811" w:rsidRDefault="00272811" w:rsidP="00272811">
      <w:pPr>
        <w:ind w:firstLine="720"/>
        <w:jc w:val="both"/>
      </w:pPr>
      <w:r>
        <w:t>Komisijas pri</w:t>
      </w:r>
      <w:r w:rsidR="00CB1941">
        <w:t>ekšsēdētājs sēdi slēdz plkst. 12</w:t>
      </w:r>
      <w:r>
        <w:t>:00.</w:t>
      </w:r>
    </w:p>
    <w:p w:rsidR="00272811" w:rsidRDefault="00272811" w:rsidP="00272811">
      <w:pPr>
        <w:jc w:val="both"/>
      </w:pPr>
    </w:p>
    <w:p w:rsidR="00272811" w:rsidRDefault="00272811" w:rsidP="00272811">
      <w:pPr>
        <w:jc w:val="both"/>
        <w:rPr>
          <w:b/>
        </w:rPr>
      </w:pPr>
      <w:r>
        <w:rPr>
          <w:b/>
        </w:rPr>
        <w:t xml:space="preserve">Pielikumā:    </w:t>
      </w:r>
    </w:p>
    <w:p w:rsidR="00272811" w:rsidRDefault="00575BDA" w:rsidP="00272811">
      <w:pPr>
        <w:numPr>
          <w:ilvl w:val="0"/>
          <w:numId w:val="2"/>
        </w:numPr>
        <w:jc w:val="both"/>
      </w:pPr>
      <w:r>
        <w:t>E.Kāpas</w:t>
      </w:r>
      <w:r w:rsidR="00272811">
        <w:t xml:space="preserve"> apliecinājums par neieinteresētību;</w:t>
      </w:r>
    </w:p>
    <w:p w:rsidR="00272811" w:rsidRDefault="00575BDA" w:rsidP="00272811">
      <w:pPr>
        <w:numPr>
          <w:ilvl w:val="0"/>
          <w:numId w:val="2"/>
        </w:numPr>
        <w:jc w:val="both"/>
      </w:pPr>
      <w:r>
        <w:t>Ieinteresēto pretendentu jautājumi</w:t>
      </w:r>
      <w:r w:rsidR="00272811">
        <w:t>;</w:t>
      </w:r>
    </w:p>
    <w:p w:rsidR="00272811" w:rsidRDefault="007279D9" w:rsidP="00272811">
      <w:pPr>
        <w:numPr>
          <w:ilvl w:val="0"/>
          <w:numId w:val="2"/>
        </w:numPr>
        <w:jc w:val="both"/>
      </w:pPr>
      <w:r>
        <w:t>Publikāciju izdruka</w:t>
      </w:r>
      <w:r w:rsidR="002A54C7">
        <w:t xml:space="preserve"> no ĀND </w:t>
      </w:r>
      <w:r>
        <w:t>mājaslapas</w:t>
      </w:r>
      <w:r w:rsidR="00272811">
        <w:t>.</w:t>
      </w:r>
    </w:p>
    <w:p w:rsidR="00272811" w:rsidRDefault="00272811" w:rsidP="00272811">
      <w:pPr>
        <w:ind w:left="720"/>
        <w:jc w:val="both"/>
      </w:pPr>
    </w:p>
    <w:p w:rsidR="00272811" w:rsidRDefault="00272811" w:rsidP="00272811">
      <w:pPr>
        <w:jc w:val="both"/>
      </w:pPr>
    </w:p>
    <w:p w:rsidR="00272811" w:rsidRDefault="00272811" w:rsidP="00272811">
      <w:pPr>
        <w:ind w:right="-694"/>
        <w:jc w:val="both"/>
      </w:pPr>
      <w:r>
        <w:t xml:space="preserve">Komisijas priekšsēdētājs: </w:t>
      </w:r>
      <w:r>
        <w:tab/>
      </w:r>
      <w:r>
        <w:tab/>
        <w:t>_____________________</w:t>
      </w:r>
      <w:r>
        <w:tab/>
        <w:t xml:space="preserve">A. Brūvers </w:t>
      </w:r>
    </w:p>
    <w:p w:rsidR="00272811" w:rsidRDefault="00272811" w:rsidP="00272811">
      <w:pPr>
        <w:ind w:right="-694"/>
        <w:jc w:val="both"/>
      </w:pPr>
    </w:p>
    <w:p w:rsidR="001D5B3D" w:rsidRDefault="00272811" w:rsidP="00E77527">
      <w:pPr>
        <w:ind w:right="-694"/>
        <w:jc w:val="both"/>
      </w:pPr>
      <w:r>
        <w:t>Komisijas locekļi:</w:t>
      </w:r>
      <w:r>
        <w:tab/>
      </w:r>
      <w:r>
        <w:tab/>
      </w:r>
      <w:r>
        <w:tab/>
      </w:r>
    </w:p>
    <w:p w:rsidR="00E63A48" w:rsidRDefault="00E63A48" w:rsidP="00E77527">
      <w:pPr>
        <w:ind w:right="-694"/>
        <w:jc w:val="both"/>
      </w:pPr>
      <w:r>
        <w:tab/>
      </w:r>
      <w:r>
        <w:tab/>
      </w:r>
      <w:r>
        <w:tab/>
      </w:r>
      <w:r>
        <w:tab/>
      </w:r>
      <w:r>
        <w:tab/>
        <w:t>_____________________</w:t>
      </w:r>
      <w:r>
        <w:tab/>
        <w:t>R. Šteina</w:t>
      </w:r>
    </w:p>
    <w:p w:rsidR="004671C4" w:rsidRDefault="004671C4" w:rsidP="00272811"/>
    <w:p w:rsidR="004671C4" w:rsidRDefault="004671C4" w:rsidP="00272811">
      <w:r>
        <w:tab/>
      </w:r>
      <w:r>
        <w:tab/>
      </w:r>
      <w:r>
        <w:tab/>
      </w:r>
      <w:r>
        <w:tab/>
      </w:r>
      <w:r>
        <w:tab/>
        <w:t>_____________________</w:t>
      </w:r>
      <w:r>
        <w:tab/>
        <w:t>H. Krasts</w:t>
      </w:r>
    </w:p>
    <w:p w:rsidR="00BE502E" w:rsidRDefault="00BE502E" w:rsidP="00272811"/>
    <w:p w:rsidR="00BE502E" w:rsidRDefault="00BE502E" w:rsidP="00272811">
      <w:r>
        <w:tab/>
      </w:r>
      <w:r>
        <w:tab/>
      </w:r>
      <w:r>
        <w:tab/>
      </w:r>
      <w:r>
        <w:tab/>
      </w:r>
      <w:r>
        <w:tab/>
        <w:t>_____________________</w:t>
      </w:r>
      <w:r>
        <w:tab/>
        <w:t>U. Dambis</w:t>
      </w:r>
    </w:p>
    <w:p w:rsidR="00575BDA" w:rsidRDefault="00575BDA" w:rsidP="00575BDA"/>
    <w:p w:rsidR="00575BDA" w:rsidRDefault="00575BDA" w:rsidP="00575BDA">
      <w:r>
        <w:tab/>
      </w:r>
      <w:r>
        <w:tab/>
      </w:r>
      <w:r>
        <w:tab/>
      </w:r>
      <w:r>
        <w:tab/>
      </w:r>
      <w:r>
        <w:tab/>
        <w:t>_____________________</w:t>
      </w:r>
      <w:r>
        <w:tab/>
        <w:t>V. Bulāns</w:t>
      </w:r>
    </w:p>
    <w:p w:rsidR="00575BDA" w:rsidRDefault="00575BDA" w:rsidP="00575BDA"/>
    <w:p w:rsidR="006B6501" w:rsidRDefault="00575BDA">
      <w:r>
        <w:tab/>
      </w:r>
      <w:r>
        <w:tab/>
      </w:r>
      <w:r w:rsidR="00FA62FA">
        <w:tab/>
      </w:r>
      <w:r w:rsidR="00FA62FA">
        <w:tab/>
      </w:r>
      <w:r w:rsidR="00FA62FA">
        <w:tab/>
        <w:t>_____________________</w:t>
      </w:r>
      <w:r w:rsidR="00FA62FA">
        <w:tab/>
        <w:t>E. Kāpa</w:t>
      </w:r>
      <w:bookmarkStart w:id="0" w:name="_GoBack"/>
      <w:bookmarkEnd w:id="0"/>
    </w:p>
    <w:sectPr w:rsidR="006B6501" w:rsidSect="00FA62FA">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290A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3B921A91"/>
    <w:multiLevelType w:val="hybridMultilevel"/>
    <w:tmpl w:val="DA4AE496"/>
    <w:lvl w:ilvl="0" w:tplc="977E3D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4">
    <w:nsid w:val="53BC1ABD"/>
    <w:multiLevelType w:val="hybridMultilevel"/>
    <w:tmpl w:val="60E25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00610D7"/>
    <w:multiLevelType w:val="hybridMultilevel"/>
    <w:tmpl w:val="60E25A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5D"/>
    <w:rsid w:val="00023408"/>
    <w:rsid w:val="00056B5F"/>
    <w:rsid w:val="000641DF"/>
    <w:rsid w:val="00085A50"/>
    <w:rsid w:val="000B0B2D"/>
    <w:rsid w:val="000B465D"/>
    <w:rsid w:val="000C04A9"/>
    <w:rsid w:val="00146516"/>
    <w:rsid w:val="001A579D"/>
    <w:rsid w:val="001D5B3D"/>
    <w:rsid w:val="001E56B8"/>
    <w:rsid w:val="001F4577"/>
    <w:rsid w:val="0020090F"/>
    <w:rsid w:val="00212495"/>
    <w:rsid w:val="00221CA6"/>
    <w:rsid w:val="002402A7"/>
    <w:rsid w:val="002716BB"/>
    <w:rsid w:val="00272811"/>
    <w:rsid w:val="002A1C45"/>
    <w:rsid w:val="002A54C7"/>
    <w:rsid w:val="002A72D5"/>
    <w:rsid w:val="002D1A9F"/>
    <w:rsid w:val="002E2753"/>
    <w:rsid w:val="002E66BC"/>
    <w:rsid w:val="003241BF"/>
    <w:rsid w:val="00345649"/>
    <w:rsid w:val="00347760"/>
    <w:rsid w:val="0036711B"/>
    <w:rsid w:val="00370CAF"/>
    <w:rsid w:val="00384B96"/>
    <w:rsid w:val="003A083C"/>
    <w:rsid w:val="003A14D0"/>
    <w:rsid w:val="003A6914"/>
    <w:rsid w:val="003D78D5"/>
    <w:rsid w:val="003E6729"/>
    <w:rsid w:val="004355BF"/>
    <w:rsid w:val="00442341"/>
    <w:rsid w:val="0045036C"/>
    <w:rsid w:val="0045072A"/>
    <w:rsid w:val="0045303E"/>
    <w:rsid w:val="00463D9A"/>
    <w:rsid w:val="004671C4"/>
    <w:rsid w:val="00487F2D"/>
    <w:rsid w:val="004E5A66"/>
    <w:rsid w:val="004F6114"/>
    <w:rsid w:val="005031E1"/>
    <w:rsid w:val="005215A6"/>
    <w:rsid w:val="00553B33"/>
    <w:rsid w:val="00557FC7"/>
    <w:rsid w:val="00570800"/>
    <w:rsid w:val="00575BDA"/>
    <w:rsid w:val="00580D28"/>
    <w:rsid w:val="005D66B5"/>
    <w:rsid w:val="005D7642"/>
    <w:rsid w:val="00600BFE"/>
    <w:rsid w:val="006208C5"/>
    <w:rsid w:val="00650725"/>
    <w:rsid w:val="006545B0"/>
    <w:rsid w:val="00677639"/>
    <w:rsid w:val="006852D4"/>
    <w:rsid w:val="006B2C5B"/>
    <w:rsid w:val="006B6501"/>
    <w:rsid w:val="006B68BA"/>
    <w:rsid w:val="006C1F33"/>
    <w:rsid w:val="006C2C11"/>
    <w:rsid w:val="006C4AC3"/>
    <w:rsid w:val="007079A4"/>
    <w:rsid w:val="007279D9"/>
    <w:rsid w:val="0073103E"/>
    <w:rsid w:val="00734C42"/>
    <w:rsid w:val="007540AC"/>
    <w:rsid w:val="00771E3D"/>
    <w:rsid w:val="00785769"/>
    <w:rsid w:val="007A06A6"/>
    <w:rsid w:val="007A701A"/>
    <w:rsid w:val="007B2C9C"/>
    <w:rsid w:val="007B7122"/>
    <w:rsid w:val="00800FAE"/>
    <w:rsid w:val="00805173"/>
    <w:rsid w:val="0083447E"/>
    <w:rsid w:val="00844A32"/>
    <w:rsid w:val="00854530"/>
    <w:rsid w:val="00863C22"/>
    <w:rsid w:val="00871563"/>
    <w:rsid w:val="008A2CC0"/>
    <w:rsid w:val="008B4DF1"/>
    <w:rsid w:val="008C3F6F"/>
    <w:rsid w:val="008F073F"/>
    <w:rsid w:val="0099778D"/>
    <w:rsid w:val="009A1D8F"/>
    <w:rsid w:val="009A6F62"/>
    <w:rsid w:val="009C5AF6"/>
    <w:rsid w:val="009C674F"/>
    <w:rsid w:val="009D16A3"/>
    <w:rsid w:val="009D432E"/>
    <w:rsid w:val="00A47D1F"/>
    <w:rsid w:val="00A871A3"/>
    <w:rsid w:val="00A871CD"/>
    <w:rsid w:val="00A9133A"/>
    <w:rsid w:val="00AA091C"/>
    <w:rsid w:val="00AA3E52"/>
    <w:rsid w:val="00AA6642"/>
    <w:rsid w:val="00AB0913"/>
    <w:rsid w:val="00AE1844"/>
    <w:rsid w:val="00AF1B88"/>
    <w:rsid w:val="00B118CA"/>
    <w:rsid w:val="00B22AAB"/>
    <w:rsid w:val="00B30B65"/>
    <w:rsid w:val="00B4068D"/>
    <w:rsid w:val="00B52763"/>
    <w:rsid w:val="00B5439B"/>
    <w:rsid w:val="00B5557C"/>
    <w:rsid w:val="00B66A31"/>
    <w:rsid w:val="00B67395"/>
    <w:rsid w:val="00B80BB2"/>
    <w:rsid w:val="00B81490"/>
    <w:rsid w:val="00B95BE5"/>
    <w:rsid w:val="00BD1225"/>
    <w:rsid w:val="00BD2B16"/>
    <w:rsid w:val="00BE3CD9"/>
    <w:rsid w:val="00BE502E"/>
    <w:rsid w:val="00BF4D19"/>
    <w:rsid w:val="00C065B8"/>
    <w:rsid w:val="00C26CC0"/>
    <w:rsid w:val="00C53680"/>
    <w:rsid w:val="00C9257E"/>
    <w:rsid w:val="00C93910"/>
    <w:rsid w:val="00CB0561"/>
    <w:rsid w:val="00CB1941"/>
    <w:rsid w:val="00D12867"/>
    <w:rsid w:val="00D37DB0"/>
    <w:rsid w:val="00D72790"/>
    <w:rsid w:val="00DB4A36"/>
    <w:rsid w:val="00DB6C6C"/>
    <w:rsid w:val="00DE160A"/>
    <w:rsid w:val="00E0125D"/>
    <w:rsid w:val="00E15504"/>
    <w:rsid w:val="00E33CFC"/>
    <w:rsid w:val="00E45168"/>
    <w:rsid w:val="00E460B0"/>
    <w:rsid w:val="00E52257"/>
    <w:rsid w:val="00E604E3"/>
    <w:rsid w:val="00E63A48"/>
    <w:rsid w:val="00E7558E"/>
    <w:rsid w:val="00E77527"/>
    <w:rsid w:val="00F0456B"/>
    <w:rsid w:val="00F3097D"/>
    <w:rsid w:val="00F4642A"/>
    <w:rsid w:val="00F85065"/>
    <w:rsid w:val="00FA62FA"/>
    <w:rsid w:val="00FA6B7F"/>
    <w:rsid w:val="00FB3EB1"/>
    <w:rsid w:val="00FB4200"/>
    <w:rsid w:val="00FC462A"/>
    <w:rsid w:val="00FC7C5D"/>
    <w:rsid w:val="00FE0F09"/>
    <w:rsid w:val="00FF2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BF4D19"/>
    <w:pPr>
      <w:ind w:left="720"/>
      <w:contextualSpacing/>
    </w:pPr>
  </w:style>
  <w:style w:type="table" w:styleId="TableGrid">
    <w:name w:val="Table Grid"/>
    <w:basedOn w:val="TableNormal"/>
    <w:uiPriority w:val="59"/>
    <w:rsid w:val="0006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BF4D19"/>
    <w:pPr>
      <w:ind w:left="720"/>
      <w:contextualSpacing/>
    </w:pPr>
  </w:style>
  <w:style w:type="table" w:styleId="TableGrid">
    <w:name w:val="Table Grid"/>
    <w:basedOn w:val="TableNormal"/>
    <w:uiPriority w:val="59"/>
    <w:rsid w:val="0006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72085">
      <w:bodyDiv w:val="1"/>
      <w:marLeft w:val="0"/>
      <w:marRight w:val="0"/>
      <w:marTop w:val="0"/>
      <w:marBottom w:val="0"/>
      <w:divBdr>
        <w:top w:val="none" w:sz="0" w:space="0" w:color="auto"/>
        <w:left w:val="none" w:sz="0" w:space="0" w:color="auto"/>
        <w:bottom w:val="none" w:sz="0" w:space="0" w:color="auto"/>
        <w:right w:val="none" w:sz="0" w:space="0" w:color="auto"/>
      </w:divBdr>
    </w:div>
    <w:div w:id="1077821347">
      <w:bodyDiv w:val="1"/>
      <w:marLeft w:val="0"/>
      <w:marRight w:val="0"/>
      <w:marTop w:val="0"/>
      <w:marBottom w:val="0"/>
      <w:divBdr>
        <w:top w:val="none" w:sz="0" w:space="0" w:color="auto"/>
        <w:left w:val="none" w:sz="0" w:space="0" w:color="auto"/>
        <w:bottom w:val="none" w:sz="0" w:space="0" w:color="auto"/>
        <w:right w:val="none" w:sz="0" w:space="0" w:color="auto"/>
      </w:divBdr>
    </w:div>
    <w:div w:id="1419327619">
      <w:bodyDiv w:val="1"/>
      <w:marLeft w:val="0"/>
      <w:marRight w:val="0"/>
      <w:marTop w:val="0"/>
      <w:marBottom w:val="0"/>
      <w:divBdr>
        <w:top w:val="none" w:sz="0" w:space="0" w:color="auto"/>
        <w:left w:val="none" w:sz="0" w:space="0" w:color="auto"/>
        <w:bottom w:val="none" w:sz="0" w:space="0" w:color="auto"/>
        <w:right w:val="none" w:sz="0" w:space="0" w:color="auto"/>
      </w:divBdr>
    </w:div>
    <w:div w:id="1587956030">
      <w:bodyDiv w:val="1"/>
      <w:marLeft w:val="0"/>
      <w:marRight w:val="0"/>
      <w:marTop w:val="0"/>
      <w:marBottom w:val="0"/>
      <w:divBdr>
        <w:top w:val="none" w:sz="0" w:space="0" w:color="auto"/>
        <w:left w:val="none" w:sz="0" w:space="0" w:color="auto"/>
        <w:bottom w:val="none" w:sz="0" w:space="0" w:color="auto"/>
        <w:right w:val="none" w:sz="0" w:space="0" w:color="auto"/>
      </w:divBdr>
    </w:div>
    <w:div w:id="17496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m.gov.lv/partika/statiskas-lapas/zalais-iepirkums?nid=1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lv/map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8619</Words>
  <Characters>4914</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113</cp:revision>
  <dcterms:created xsi:type="dcterms:W3CDTF">2015-03-19T13:27:00Z</dcterms:created>
  <dcterms:modified xsi:type="dcterms:W3CDTF">2016-04-25T16:16:00Z</dcterms:modified>
</cp:coreProperties>
</file>