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77" w:rsidRDefault="00935077" w:rsidP="00935077">
      <w:pPr>
        <w:jc w:val="center"/>
        <w:rPr>
          <w:b/>
        </w:rPr>
      </w:pPr>
      <w:r>
        <w:rPr>
          <w:b/>
        </w:rPr>
        <w:t>Ādažu novada domes</w:t>
      </w:r>
    </w:p>
    <w:p w:rsidR="00935077" w:rsidRDefault="00935077" w:rsidP="00935077">
      <w:pPr>
        <w:jc w:val="center"/>
        <w:rPr>
          <w:b/>
        </w:rPr>
      </w:pPr>
      <w:r>
        <w:rPr>
          <w:b/>
        </w:rPr>
        <w:t>iepirkuma</w:t>
      </w:r>
    </w:p>
    <w:p w:rsidR="00935077" w:rsidRDefault="00935077" w:rsidP="00935077">
      <w:pPr>
        <w:jc w:val="center"/>
        <w:rPr>
          <w:b/>
          <w:sz w:val="8"/>
          <w:szCs w:val="8"/>
        </w:rPr>
      </w:pPr>
    </w:p>
    <w:p w:rsidR="00935077" w:rsidRDefault="008C1228" w:rsidP="0093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„Ventilācijas sistēmu apkalpošana</w:t>
      </w:r>
      <w:r w:rsidR="00935077">
        <w:rPr>
          <w:b/>
          <w:sz w:val="28"/>
          <w:szCs w:val="28"/>
        </w:rPr>
        <w:t>”</w:t>
      </w:r>
    </w:p>
    <w:p w:rsidR="00935077" w:rsidRDefault="00935077" w:rsidP="0093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2015/9</w:t>
      </w:r>
      <w:r w:rsidR="0056645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935077" w:rsidRDefault="00935077" w:rsidP="00935077">
      <w:pPr>
        <w:jc w:val="center"/>
        <w:rPr>
          <w:sz w:val="8"/>
          <w:szCs w:val="8"/>
        </w:rPr>
      </w:pPr>
    </w:p>
    <w:p w:rsidR="00935077" w:rsidRDefault="00935077" w:rsidP="00935077">
      <w:pPr>
        <w:jc w:val="center"/>
        <w:rPr>
          <w:sz w:val="8"/>
          <w:szCs w:val="8"/>
        </w:rPr>
      </w:pPr>
    </w:p>
    <w:p w:rsidR="00935077" w:rsidRDefault="00935077" w:rsidP="00935077">
      <w:pPr>
        <w:jc w:val="center"/>
      </w:pPr>
      <w:r>
        <w:t>iepirkuma komisijas sēdes</w:t>
      </w:r>
    </w:p>
    <w:p w:rsidR="00935077" w:rsidRDefault="00935077" w:rsidP="00935077">
      <w:pPr>
        <w:rPr>
          <w:sz w:val="8"/>
          <w:szCs w:val="8"/>
        </w:rPr>
      </w:pPr>
    </w:p>
    <w:p w:rsidR="00935077" w:rsidRDefault="00935077" w:rsidP="00935077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8C1228">
        <w:rPr>
          <w:b/>
        </w:rPr>
        <w:t xml:space="preserve"> Nr.05-30-2015/97</w:t>
      </w:r>
      <w:r>
        <w:rPr>
          <w:b/>
        </w:rPr>
        <w:t>-</w:t>
      </w:r>
      <w:r w:rsidR="00EC6E5E">
        <w:rPr>
          <w:b/>
        </w:rPr>
        <w:t>3</w:t>
      </w:r>
    </w:p>
    <w:p w:rsidR="00935077" w:rsidRDefault="00935077" w:rsidP="00935077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35077" w:rsidTr="00935077">
        <w:tc>
          <w:tcPr>
            <w:tcW w:w="4261" w:type="dxa"/>
            <w:hideMark/>
          </w:tcPr>
          <w:p w:rsidR="00935077" w:rsidRDefault="00935077">
            <w:r>
              <w:t>Ādažos</w:t>
            </w:r>
          </w:p>
        </w:tc>
        <w:tc>
          <w:tcPr>
            <w:tcW w:w="4261" w:type="dxa"/>
            <w:hideMark/>
          </w:tcPr>
          <w:p w:rsidR="00935077" w:rsidRDefault="00935077" w:rsidP="008C1228">
            <w:pPr>
              <w:jc w:val="right"/>
            </w:pPr>
            <w:r>
              <w:rPr>
                <w:b/>
              </w:rPr>
              <w:t xml:space="preserve">2015. gada </w:t>
            </w:r>
            <w:r w:rsidR="008C1228">
              <w:rPr>
                <w:b/>
              </w:rPr>
              <w:t>30</w:t>
            </w:r>
            <w:r>
              <w:rPr>
                <w:b/>
              </w:rPr>
              <w:t>.jūnijā</w:t>
            </w:r>
          </w:p>
        </w:tc>
      </w:tr>
    </w:tbl>
    <w:p w:rsidR="00935077" w:rsidRDefault="00935077" w:rsidP="009350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35077" w:rsidRDefault="00935077" w:rsidP="00935077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935077" w:rsidRDefault="00935077" w:rsidP="00935077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10:00</w:t>
      </w: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46"/>
        <w:gridCol w:w="4660"/>
      </w:tblGrid>
      <w:tr w:rsidR="00935077" w:rsidTr="00935077">
        <w:trPr>
          <w:trHeight w:val="1131"/>
        </w:trPr>
        <w:tc>
          <w:tcPr>
            <w:tcW w:w="3046" w:type="dxa"/>
          </w:tcPr>
          <w:p w:rsidR="00935077" w:rsidRDefault="00935077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935077" w:rsidRDefault="00935077">
            <w:pPr>
              <w:ind w:left="72" w:right="-694"/>
              <w:jc w:val="both"/>
            </w:pPr>
            <w:r>
              <w:t>Komisijas locekļi:</w:t>
            </w:r>
          </w:p>
          <w:p w:rsidR="00935077" w:rsidRDefault="00935077">
            <w:pPr>
              <w:ind w:left="72" w:right="-694"/>
              <w:jc w:val="both"/>
            </w:pPr>
          </w:p>
          <w:p w:rsidR="00935077" w:rsidRDefault="00935077">
            <w:pPr>
              <w:ind w:left="72" w:right="-694"/>
              <w:jc w:val="both"/>
            </w:pPr>
          </w:p>
          <w:p w:rsidR="00935077" w:rsidRDefault="00935077">
            <w:pPr>
              <w:ind w:left="72" w:right="-694"/>
              <w:jc w:val="both"/>
            </w:pPr>
          </w:p>
          <w:p w:rsidR="00935077" w:rsidRDefault="00935077">
            <w:pPr>
              <w:ind w:left="72" w:right="-694"/>
              <w:jc w:val="both"/>
            </w:pPr>
          </w:p>
        </w:tc>
        <w:tc>
          <w:tcPr>
            <w:tcW w:w="4660" w:type="dxa"/>
            <w:hideMark/>
          </w:tcPr>
          <w:p w:rsidR="00935077" w:rsidRDefault="00935077">
            <w:pPr>
              <w:ind w:right="-694"/>
              <w:jc w:val="both"/>
            </w:pPr>
            <w:r>
              <w:t>Artis Brūvers</w:t>
            </w:r>
          </w:p>
          <w:p w:rsidR="00935077" w:rsidRDefault="00935077">
            <w:pPr>
              <w:jc w:val="both"/>
            </w:pPr>
            <w:r>
              <w:t>Rita Šteina</w:t>
            </w:r>
          </w:p>
          <w:p w:rsidR="00935077" w:rsidRDefault="00935077">
            <w:r>
              <w:t>Everita Kāpa</w:t>
            </w:r>
          </w:p>
          <w:p w:rsidR="00935077" w:rsidRDefault="00935077">
            <w:r>
              <w:t>Uģis Dambis</w:t>
            </w:r>
          </w:p>
          <w:p w:rsidR="00935077" w:rsidRDefault="00935077">
            <w:r>
              <w:t>Valērijs Bulāns</w:t>
            </w:r>
          </w:p>
          <w:p w:rsidR="00935077" w:rsidRDefault="00935077">
            <w:pPr>
              <w:jc w:val="both"/>
            </w:pPr>
            <w:r>
              <w:t>Halfors Krasts</w:t>
            </w:r>
          </w:p>
        </w:tc>
      </w:tr>
    </w:tbl>
    <w:p w:rsidR="00935077" w:rsidRDefault="00935077" w:rsidP="00935077">
      <w:pPr>
        <w:rPr>
          <w:b/>
        </w:rPr>
      </w:pPr>
      <w:r>
        <w:rPr>
          <w:b/>
        </w:rPr>
        <w:t xml:space="preserve">Komisijas izveides pamats: </w:t>
      </w:r>
    </w:p>
    <w:p w:rsidR="00935077" w:rsidRDefault="00935077" w:rsidP="00935077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</w:pPr>
      <w:r>
        <w:rPr>
          <w:b/>
          <w:bCs/>
        </w:rPr>
        <w:t>Darba kārtībā:</w:t>
      </w:r>
    </w:p>
    <w:p w:rsidR="00935077" w:rsidRDefault="00935077" w:rsidP="00935077">
      <w:pPr>
        <w:tabs>
          <w:tab w:val="left" w:pos="993"/>
        </w:tabs>
        <w:ind w:left="709"/>
        <w:jc w:val="both"/>
      </w:pPr>
      <w:r>
        <w:t xml:space="preserve">Piedāvājumu </w:t>
      </w:r>
      <w:r w:rsidR="00EC6E5E">
        <w:t>vērtēšana</w:t>
      </w:r>
      <w:r>
        <w:t xml:space="preserve"> iepirkumā „</w:t>
      </w:r>
      <w:r w:rsidR="008C1228">
        <w:t>Ventilācijas sistēmu apkalpošana</w:t>
      </w:r>
      <w:r>
        <w:t>” (ID.Nr.: ĀND 2015/9</w:t>
      </w:r>
      <w:r w:rsidR="008C1228">
        <w:t>7</w:t>
      </w:r>
      <w:r>
        <w:t>).</w:t>
      </w:r>
    </w:p>
    <w:p w:rsidR="00935077" w:rsidRDefault="00935077" w:rsidP="00935077">
      <w:pPr>
        <w:tabs>
          <w:tab w:val="left" w:pos="993"/>
        </w:tabs>
        <w:jc w:val="both"/>
        <w:rPr>
          <w:b/>
        </w:rPr>
      </w:pPr>
    </w:p>
    <w:p w:rsidR="00935077" w:rsidRDefault="00935077" w:rsidP="00935077">
      <w:pPr>
        <w:tabs>
          <w:tab w:val="left" w:pos="993"/>
        </w:tabs>
        <w:jc w:val="both"/>
        <w:rPr>
          <w:b/>
        </w:rPr>
      </w:pPr>
      <w:r>
        <w:rPr>
          <w:b/>
        </w:rPr>
        <w:t>Darba gaita:</w:t>
      </w:r>
    </w:p>
    <w:p w:rsidR="00935077" w:rsidRDefault="00935077" w:rsidP="00EC6E5E">
      <w:pPr>
        <w:pStyle w:val="ListParagraph"/>
        <w:numPr>
          <w:ilvl w:val="0"/>
          <w:numId w:val="4"/>
        </w:numPr>
        <w:ind w:right="43"/>
        <w:jc w:val="both"/>
      </w:pPr>
      <w:r>
        <w:t xml:space="preserve">A. Brūvers </w:t>
      </w:r>
      <w:r w:rsidR="00EC6E5E">
        <w:t>atgādina,</w:t>
      </w:r>
      <w:r>
        <w:t xml:space="preserve"> ka noteiktajā termiņā piedāvājumus </w:t>
      </w:r>
      <w:r w:rsidR="00EC6E5E">
        <w:t xml:space="preserve">bija </w:t>
      </w:r>
      <w:r>
        <w:t xml:space="preserve">iesnieguši </w:t>
      </w:r>
      <w:r w:rsidR="00A86A52">
        <w:t>4</w:t>
      </w:r>
      <w:r>
        <w:t xml:space="preserve"> pretendenti</w:t>
      </w:r>
      <w:r w:rsidR="00EC6E5E">
        <w:t>:</w:t>
      </w:r>
    </w:p>
    <w:p w:rsidR="00935077" w:rsidRDefault="00935077" w:rsidP="00935077">
      <w:pPr>
        <w:ind w:left="720" w:right="43" w:hanging="720"/>
        <w:jc w:val="both"/>
      </w:pPr>
    </w:p>
    <w:tbl>
      <w:tblPr>
        <w:tblW w:w="80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187"/>
        <w:gridCol w:w="3113"/>
      </w:tblGrid>
      <w:tr w:rsidR="00935077" w:rsidTr="00935077">
        <w:trPr>
          <w:trHeight w:val="3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rPr>
                <w:b/>
              </w:rPr>
            </w:pPr>
            <w:r>
              <w:rPr>
                <w:b/>
              </w:rPr>
              <w:t>Pretendents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rPr>
                <w:b/>
              </w:rPr>
            </w:pPr>
            <w:r>
              <w:rPr>
                <w:b/>
              </w:rPr>
              <w:t>Piedāvātā cena EURO (bez PVN)</w:t>
            </w:r>
          </w:p>
        </w:tc>
      </w:tr>
      <w:tr w:rsidR="00935077" w:rsidTr="00A86A52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ind w:left="360"/>
              <w:jc w:val="center"/>
            </w:pPr>
            <w: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r>
              <w:t>A/S „LAFIPA”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7" w:rsidRDefault="00A86A52">
            <w:r>
              <w:t>8998,30</w:t>
            </w:r>
          </w:p>
        </w:tc>
      </w:tr>
      <w:tr w:rsidR="00935077" w:rsidTr="00A86A52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ind w:left="360"/>
              <w:jc w:val="center"/>
            </w:pPr>
            <w: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 w:rsidP="00A86A52">
            <w:r>
              <w:t>SIA „</w:t>
            </w:r>
            <w:r w:rsidR="00A86A52">
              <w:t>LAFIVENTS SERVISS</w:t>
            </w:r>
            <w:r>
              <w:t>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7" w:rsidRDefault="00A86A52">
            <w:r>
              <w:t>7528,00</w:t>
            </w:r>
          </w:p>
        </w:tc>
      </w:tr>
      <w:tr w:rsidR="00935077" w:rsidTr="00A86A52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ind w:left="360"/>
              <w:jc w:val="center"/>
            </w:pPr>
            <w: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A86A52" w:rsidP="00A86A52">
            <w:r>
              <w:t>SIA „SANARTS</w:t>
            </w:r>
            <w:r w:rsidR="00935077">
              <w:t>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7" w:rsidRDefault="00A86A52">
            <w:r>
              <w:t>7732,00</w:t>
            </w:r>
          </w:p>
        </w:tc>
      </w:tr>
      <w:tr w:rsidR="00935077" w:rsidTr="00A86A52">
        <w:trPr>
          <w:trHeight w:val="2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>
            <w:pPr>
              <w:ind w:left="360"/>
              <w:jc w:val="center"/>
            </w:pPr>
            <w: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77" w:rsidRDefault="00935077" w:rsidP="00A86A52">
            <w:r>
              <w:t>SIA „</w:t>
            </w:r>
            <w:r w:rsidR="00A86A52">
              <w:t>RIGA CITY SERVICE</w:t>
            </w:r>
            <w:r>
              <w:t>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7" w:rsidRDefault="00A86A52">
            <w:r>
              <w:t>8038,00</w:t>
            </w:r>
          </w:p>
        </w:tc>
      </w:tr>
    </w:tbl>
    <w:p w:rsidR="00EC6E5E" w:rsidRDefault="00EC6E5E" w:rsidP="00EC6E5E">
      <w:pPr>
        <w:pStyle w:val="ListParagraph"/>
        <w:ind w:right="43"/>
        <w:jc w:val="both"/>
      </w:pPr>
    </w:p>
    <w:p w:rsidR="00EC6E5E" w:rsidRDefault="00EC6E5E" w:rsidP="00EC6E5E">
      <w:pPr>
        <w:pStyle w:val="ListParagraph"/>
        <w:numPr>
          <w:ilvl w:val="0"/>
          <w:numId w:val="4"/>
        </w:numPr>
        <w:ind w:right="43"/>
        <w:jc w:val="both"/>
      </w:pPr>
      <w:r>
        <w:t>Komisija uzsāk pretendentu piedāvājumu izvērtēšanu.</w:t>
      </w:r>
    </w:p>
    <w:p w:rsidR="00EC6E5E" w:rsidRDefault="00EC6E5E" w:rsidP="00EC6E5E">
      <w:pPr>
        <w:pStyle w:val="ListParagraph"/>
        <w:numPr>
          <w:ilvl w:val="0"/>
          <w:numId w:val="4"/>
        </w:numPr>
        <w:ind w:right="43"/>
        <w:jc w:val="both"/>
      </w:pPr>
      <w:r>
        <w:t>Komisija secina, ka visu pretendentu piedāvājumi noformēti atbilstoši, ievērojot nolikuma un normatīvo aktu prasības.</w:t>
      </w:r>
    </w:p>
    <w:p w:rsidR="00EC6E5E" w:rsidRDefault="00EC6E5E" w:rsidP="006D402C">
      <w:pPr>
        <w:pStyle w:val="ListParagraph"/>
        <w:numPr>
          <w:ilvl w:val="0"/>
          <w:numId w:val="4"/>
        </w:numPr>
        <w:ind w:right="43"/>
        <w:jc w:val="both"/>
      </w:pPr>
      <w:r>
        <w:t>Komisija uzsāk pretendentu kvalifikācijas dokumentu izvērtēšanu.</w:t>
      </w:r>
    </w:p>
    <w:p w:rsidR="003E6E3F" w:rsidRDefault="003E6E3F" w:rsidP="006D402C">
      <w:pPr>
        <w:pStyle w:val="ListParagraph"/>
        <w:numPr>
          <w:ilvl w:val="0"/>
          <w:numId w:val="4"/>
        </w:numPr>
        <w:ind w:right="43"/>
        <w:jc w:val="both"/>
      </w:pPr>
      <w:r>
        <w:t>Komisija secina, ka „RIGA CITY SERVICE” piedāvājums pilnībā atbilst nolikumā noteiktajām kvalifikācijas prasībām.</w:t>
      </w:r>
    </w:p>
    <w:p w:rsidR="0012281F" w:rsidRDefault="006D402C" w:rsidP="0012281F">
      <w:pPr>
        <w:pStyle w:val="ListParagraph"/>
        <w:numPr>
          <w:ilvl w:val="0"/>
          <w:numId w:val="4"/>
        </w:numPr>
        <w:ind w:right="43"/>
        <w:jc w:val="both"/>
      </w:pPr>
      <w:r>
        <w:t xml:space="preserve">Komisija konstatē, ka </w:t>
      </w:r>
      <w:r w:rsidR="003E6E3F">
        <w:t>A/S „LAFIPA”, SIA „LAFIVENTS SERVISS”</w:t>
      </w:r>
      <w:r>
        <w:t xml:space="preserve"> </w:t>
      </w:r>
      <w:r w:rsidR="003E6E3F">
        <w:t xml:space="preserve">un SIA „SANARTS” </w:t>
      </w:r>
      <w:r>
        <w:t>kvalifikācijas dokumenti nedod komisijai pārliecību, ka pretend</w:t>
      </w:r>
      <w:r w:rsidR="003E6E3F">
        <w:t>entu pieredze atbilst nolikuma 8.1</w:t>
      </w:r>
      <w:r>
        <w:t>.</w:t>
      </w:r>
      <w:r w:rsidR="003E6E3F">
        <w:t>c</w:t>
      </w:r>
      <w:r w:rsidR="000A563B">
        <w:t>) punkta prasībām, jo tajos iekļautā informācija attiecībā uz noslēgto līgumu darbības termiņiem ir neskaidra.</w:t>
      </w:r>
    </w:p>
    <w:p w:rsidR="0012281F" w:rsidRPr="0012281F" w:rsidRDefault="00214E46" w:rsidP="0012281F">
      <w:pPr>
        <w:pStyle w:val="ListParagraph"/>
        <w:numPr>
          <w:ilvl w:val="0"/>
          <w:numId w:val="4"/>
        </w:numPr>
        <w:ind w:right="43"/>
        <w:jc w:val="both"/>
      </w:pPr>
      <w:r w:rsidRPr="0012281F">
        <w:rPr>
          <w:sz w:val="22"/>
          <w:szCs w:val="22"/>
        </w:rPr>
        <w:lastRenderedPageBreak/>
        <w:t xml:space="preserve">Nolikuma </w:t>
      </w:r>
      <w:r w:rsidR="003E6E3F">
        <w:t xml:space="preserve">8.1.c) </w:t>
      </w:r>
      <w:r w:rsidRPr="0012281F">
        <w:rPr>
          <w:sz w:val="22"/>
          <w:szCs w:val="22"/>
        </w:rPr>
        <w:t xml:space="preserve">punktā noteikts, ka </w:t>
      </w:r>
      <w:r w:rsidR="0012281F">
        <w:t>p</w:t>
      </w:r>
      <w:r w:rsidR="0012281F" w:rsidRPr="0012281F">
        <w:t>retenden</w:t>
      </w:r>
      <w:bookmarkStart w:id="0" w:name="_GoBack"/>
      <w:bookmarkEnd w:id="0"/>
      <w:r w:rsidR="0012281F" w:rsidRPr="0012281F">
        <w:t xml:space="preserve">ts iepriekšējo 3 (trīs) gadu laikā ir </w:t>
      </w:r>
      <w:r w:rsidR="0012281F">
        <w:t>jābūt izpildījušam</w:t>
      </w:r>
      <w:r w:rsidR="0012281F" w:rsidRPr="0012281F">
        <w:t xml:space="preserve"> 3 (trīs) līdzvērtīgu līgumu izpildi, kur:</w:t>
      </w:r>
      <w:r w:rsidR="0012281F">
        <w:t xml:space="preserve"> </w:t>
      </w:r>
    </w:p>
    <w:p w:rsidR="0012281F" w:rsidRDefault="0012281F" w:rsidP="0012281F">
      <w:pPr>
        <w:pStyle w:val="Paragrfs"/>
        <w:numPr>
          <w:ilvl w:val="0"/>
          <w:numId w:val="9"/>
        </w:numPr>
        <w:tabs>
          <w:tab w:val="left" w:pos="720"/>
        </w:tabs>
        <w:spacing w:before="120" w:after="120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katra līguma līgumcena (ne vairāk kā 12 mēnešu kopsummā) ir vismaz pretendenta piedāvātās kopējās līgumcenas attiecīgajā iepirkumā apjomā;</w:t>
      </w:r>
    </w:p>
    <w:p w:rsidR="0012281F" w:rsidRDefault="0012281F" w:rsidP="0012281F">
      <w:pPr>
        <w:pStyle w:val="Paragrfs"/>
        <w:numPr>
          <w:ilvl w:val="0"/>
          <w:numId w:val="9"/>
        </w:numPr>
        <w:tabs>
          <w:tab w:val="left" w:pos="720"/>
        </w:tabs>
        <w:spacing w:before="120" w:after="120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līguma priekšmets ir ventilācijas sistēmu uzturēšana;</w:t>
      </w:r>
    </w:p>
    <w:p w:rsidR="0012281F" w:rsidRPr="00146C67" w:rsidRDefault="0012281F" w:rsidP="0012281F">
      <w:pPr>
        <w:pStyle w:val="Paragrfs"/>
        <w:numPr>
          <w:ilvl w:val="0"/>
          <w:numId w:val="9"/>
        </w:numPr>
        <w:tabs>
          <w:tab w:val="left" w:pos="720"/>
        </w:tabs>
        <w:spacing w:before="120" w:after="120"/>
        <w:ind w:left="709" w:hanging="283"/>
        <w:rPr>
          <w:rFonts w:ascii="Times New Roman" w:hAnsi="Times New Roman"/>
          <w:sz w:val="24"/>
        </w:rPr>
      </w:pPr>
      <w:r w:rsidRPr="00146C67">
        <w:rPr>
          <w:rFonts w:ascii="Times New Roman" w:hAnsi="Times New Roman"/>
          <w:sz w:val="24"/>
        </w:rPr>
        <w:t>par katra līguma realizāciju ir pievienota pozitīva pasūtītāja atsauksme.</w:t>
      </w:r>
    </w:p>
    <w:p w:rsidR="0012281F" w:rsidRPr="0012281F" w:rsidRDefault="00A25899" w:rsidP="0012281F">
      <w:pPr>
        <w:pStyle w:val="ListParagraph"/>
        <w:numPr>
          <w:ilvl w:val="0"/>
          <w:numId w:val="4"/>
        </w:numPr>
        <w:spacing w:before="120" w:after="120"/>
        <w:jc w:val="both"/>
        <w:rPr>
          <w:bCs/>
        </w:rPr>
      </w:pPr>
      <w:r>
        <w:rPr>
          <w:bCs/>
        </w:rPr>
        <w:t>Savukārt n</w:t>
      </w:r>
      <w:r w:rsidR="00214E46" w:rsidRPr="00A25899">
        <w:rPr>
          <w:bCs/>
        </w:rPr>
        <w:t xml:space="preserve">olikuma </w:t>
      </w:r>
      <w:r w:rsidR="0012281F">
        <w:rPr>
          <w:bCs/>
        </w:rPr>
        <w:t>9</w:t>
      </w:r>
      <w:r w:rsidR="00214E46" w:rsidRPr="00A25899">
        <w:rPr>
          <w:bCs/>
        </w:rPr>
        <w:t>.1. c) punktā noteik</w:t>
      </w:r>
      <w:r w:rsidR="0012281F">
        <w:rPr>
          <w:bCs/>
        </w:rPr>
        <w:t>ts, ka pretendentam jāiesniedz i</w:t>
      </w:r>
      <w:r w:rsidR="0012281F">
        <w:t>nformācija par pretendenta pēdējo 3 (trīs) gadu laikā realizētajiem līgumiem. Informācija sagatavojama saskaņā ar Nolikumam pievienoto formu (skatīt B2 formu), pievienojot pasūtītāju atsauksmes.</w:t>
      </w:r>
    </w:p>
    <w:p w:rsidR="004D1877" w:rsidRPr="004D1877" w:rsidRDefault="004D1877" w:rsidP="004D1877">
      <w:pPr>
        <w:pStyle w:val="ListParagraph"/>
        <w:numPr>
          <w:ilvl w:val="0"/>
          <w:numId w:val="4"/>
        </w:numPr>
        <w:spacing w:before="120" w:after="120"/>
        <w:jc w:val="both"/>
        <w:rPr>
          <w:bCs/>
        </w:rPr>
      </w:pPr>
      <w:r>
        <w:t xml:space="preserve">Komisija lemj, ka </w:t>
      </w:r>
      <w:r w:rsidR="0053154D">
        <w:t xml:space="preserve">A/S „LAFIPA”, SIA „LAFIVENTS SERVISS” un SIA „SANARTS” </w:t>
      </w:r>
      <w:r>
        <w:t>ir nepieciešams uzdot papildus jautājumus par to kvalifikācijas dokumentos iekļauto informāciju par iepriekš realizētajiem līgumiem.</w:t>
      </w:r>
    </w:p>
    <w:p w:rsidR="004D1877" w:rsidRPr="004D1877" w:rsidRDefault="004D1877" w:rsidP="004D1877">
      <w:pPr>
        <w:pStyle w:val="ListParagraph"/>
        <w:numPr>
          <w:ilvl w:val="0"/>
          <w:numId w:val="4"/>
        </w:numPr>
        <w:spacing w:before="120" w:after="120"/>
        <w:jc w:val="both"/>
        <w:rPr>
          <w:bCs/>
        </w:rPr>
      </w:pPr>
      <w:r>
        <w:t>Komisija apspriež, ka jautājumu uzdošanā pretendentiem jādarbojas principam – skaidrot informāciju tikai par tiem izpildītajiem objektiem, kurus pretendents ir norādījis savā piedāvājumā, nepieļaujot informācijas vai dokumentu sniegšanu par jauniem objektiem, kas nav bijuši norādīti piedāvājumā.</w:t>
      </w:r>
    </w:p>
    <w:p w:rsidR="004D1877" w:rsidRPr="004D1877" w:rsidRDefault="004D1877" w:rsidP="004D1877">
      <w:pPr>
        <w:pStyle w:val="ListParagraph"/>
        <w:numPr>
          <w:ilvl w:val="0"/>
          <w:numId w:val="4"/>
        </w:numPr>
        <w:spacing w:before="120" w:after="120"/>
        <w:jc w:val="both"/>
        <w:rPr>
          <w:bCs/>
        </w:rPr>
      </w:pPr>
      <w:r>
        <w:t>Komisija lemj pieprasīt iesniegt papildus informāciju</w:t>
      </w:r>
      <w:r w:rsidR="00671557" w:rsidRPr="00671557">
        <w:t xml:space="preserve"> </w:t>
      </w:r>
      <w:r w:rsidR="0053154D">
        <w:t xml:space="preserve">A/S „LAFIPA”, SIA „LAFIVENTS SERVISS” un SIA „SANARTS” </w:t>
      </w:r>
      <w:r>
        <w:t xml:space="preserve">līdz </w:t>
      </w:r>
      <w:r w:rsidR="0053154D">
        <w:t>6</w:t>
      </w:r>
      <w:r w:rsidR="00C5292C">
        <w:t>.jūlija plkst.16:00.</w:t>
      </w:r>
    </w:p>
    <w:p w:rsidR="004D1877" w:rsidRPr="004D1877" w:rsidRDefault="004D1877" w:rsidP="004D1877">
      <w:pPr>
        <w:spacing w:before="120" w:after="120"/>
        <w:ind w:left="360"/>
        <w:jc w:val="both"/>
        <w:rPr>
          <w:bCs/>
        </w:rPr>
      </w:pP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671557">
      <w:pPr>
        <w:shd w:val="clear" w:color="auto" w:fill="D9D9D9" w:themeFill="background1" w:themeFillShade="D9"/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4D1877" w:rsidRDefault="004D1877" w:rsidP="00671557">
      <w:pPr>
        <w:shd w:val="clear" w:color="auto" w:fill="D9D9D9" w:themeFill="background1" w:themeFillShade="D9"/>
        <w:jc w:val="both"/>
        <w:rPr>
          <w:b/>
          <w:bCs/>
        </w:rPr>
      </w:pPr>
    </w:p>
    <w:p w:rsidR="004D1877" w:rsidRDefault="004D1877" w:rsidP="00671557">
      <w:pPr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360" w:right="43" w:hanging="360"/>
        <w:jc w:val="both"/>
        <w:rPr>
          <w:b/>
        </w:rPr>
      </w:pPr>
      <w:r>
        <w:rPr>
          <w:b/>
        </w:rPr>
        <w:t>Ritai Šteinai sagatavot un nosūtīt vēstules pretendentiem;</w:t>
      </w:r>
    </w:p>
    <w:p w:rsidR="00935077" w:rsidRDefault="00935077" w:rsidP="00671557">
      <w:pPr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360" w:right="43" w:hanging="360"/>
        <w:jc w:val="both"/>
        <w:rPr>
          <w:b/>
        </w:rPr>
      </w:pPr>
      <w:r>
        <w:rPr>
          <w:b/>
        </w:rPr>
        <w:t>Turpināt piedāvājumu vērtēšanu kādā no turpmākajām komisijas sēdēm</w:t>
      </w:r>
      <w:r w:rsidR="004D1877">
        <w:rPr>
          <w:b/>
        </w:rPr>
        <w:t>, kad būs saņemtas atbildes no visiem pretendentiem</w:t>
      </w:r>
      <w:r>
        <w:rPr>
          <w:b/>
        </w:rPr>
        <w:t>.</w:t>
      </w: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  <w:rPr>
          <w:b/>
          <w:bCs/>
        </w:rPr>
      </w:pPr>
    </w:p>
    <w:p w:rsidR="00935077" w:rsidRDefault="00935077" w:rsidP="00935077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935077" w:rsidRDefault="00935077" w:rsidP="00935077">
      <w:pPr>
        <w:ind w:firstLine="720"/>
        <w:jc w:val="both"/>
      </w:pPr>
      <w:r>
        <w:t>Komisijas priekšsēdētājs sēdi slēdz plkst. 12:00.</w:t>
      </w:r>
    </w:p>
    <w:p w:rsidR="00935077" w:rsidRDefault="00935077" w:rsidP="00935077">
      <w:pPr>
        <w:ind w:firstLine="720"/>
        <w:jc w:val="both"/>
      </w:pPr>
    </w:p>
    <w:p w:rsidR="00935077" w:rsidRDefault="00935077" w:rsidP="00935077">
      <w:pPr>
        <w:jc w:val="both"/>
        <w:rPr>
          <w:b/>
        </w:rPr>
      </w:pPr>
      <w:r>
        <w:rPr>
          <w:b/>
        </w:rPr>
        <w:t xml:space="preserve">Pielikumā: </w:t>
      </w:r>
    </w:p>
    <w:p w:rsidR="00671557" w:rsidRDefault="00671557" w:rsidP="00671557">
      <w:r>
        <w:t xml:space="preserve">Vēstules </w:t>
      </w:r>
      <w:r w:rsidR="0053154D">
        <w:t>A/S „LAFIPA”, SIA „LAFIVENTS SERVISS” un SIA „SANARTS”</w:t>
      </w:r>
      <w:r>
        <w:t>.</w:t>
      </w:r>
    </w:p>
    <w:p w:rsidR="00935077" w:rsidRDefault="00935077" w:rsidP="00935077">
      <w:pPr>
        <w:spacing w:line="360" w:lineRule="auto"/>
        <w:ind w:right="-694"/>
        <w:jc w:val="both"/>
      </w:pPr>
    </w:p>
    <w:p w:rsidR="00935077" w:rsidRDefault="00935077" w:rsidP="00935077">
      <w:pPr>
        <w:spacing w:line="360" w:lineRule="auto"/>
        <w:ind w:right="-694"/>
        <w:jc w:val="both"/>
      </w:pPr>
    </w:p>
    <w:p w:rsidR="00935077" w:rsidRDefault="00935077" w:rsidP="00935077">
      <w:pPr>
        <w:spacing w:line="480" w:lineRule="auto"/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935077" w:rsidRDefault="00935077" w:rsidP="00935077">
      <w:pPr>
        <w:spacing w:line="480" w:lineRule="auto"/>
        <w:ind w:right="-694"/>
        <w:jc w:val="both"/>
      </w:pPr>
      <w:r>
        <w:t>Komisijas locekļi:</w:t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935077" w:rsidRDefault="00935077" w:rsidP="00935077">
      <w:pPr>
        <w:spacing w:line="480" w:lineRule="auto"/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935077" w:rsidRDefault="00935077" w:rsidP="00935077">
      <w:pPr>
        <w:spacing w:line="480" w:lineRule="auto"/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935077" w:rsidRDefault="00935077" w:rsidP="0093507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9A038A" w:rsidRDefault="00935077" w:rsidP="000B56E2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sectPr w:rsidR="009A0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8521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E5C1189"/>
    <w:multiLevelType w:val="multilevel"/>
    <w:tmpl w:val="9FBEACC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30C78"/>
    <w:multiLevelType w:val="hybridMultilevel"/>
    <w:tmpl w:val="A3848C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54C5"/>
    <w:multiLevelType w:val="hybridMultilevel"/>
    <w:tmpl w:val="A650D3AA"/>
    <w:lvl w:ilvl="0" w:tplc="ED1A92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72D2"/>
    <w:multiLevelType w:val="hybridMultilevel"/>
    <w:tmpl w:val="5DFE4498"/>
    <w:lvl w:ilvl="0" w:tplc="0426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6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391736C"/>
    <w:multiLevelType w:val="hybridMultilevel"/>
    <w:tmpl w:val="A3848C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C8"/>
    <w:rsid w:val="000A563B"/>
    <w:rsid w:val="000B56E2"/>
    <w:rsid w:val="0012281F"/>
    <w:rsid w:val="00214E46"/>
    <w:rsid w:val="003430F6"/>
    <w:rsid w:val="003E6E3F"/>
    <w:rsid w:val="004D1877"/>
    <w:rsid w:val="0053154D"/>
    <w:rsid w:val="0056645D"/>
    <w:rsid w:val="00671557"/>
    <w:rsid w:val="006D402C"/>
    <w:rsid w:val="008C1228"/>
    <w:rsid w:val="00935077"/>
    <w:rsid w:val="009A038A"/>
    <w:rsid w:val="00A25899"/>
    <w:rsid w:val="00A86A52"/>
    <w:rsid w:val="00AD4AC8"/>
    <w:rsid w:val="00C5292C"/>
    <w:rsid w:val="00E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07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35077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7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507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C6E5E"/>
    <w:pPr>
      <w:ind w:left="720"/>
      <w:contextualSpacing/>
    </w:pPr>
  </w:style>
  <w:style w:type="paragraph" w:customStyle="1" w:styleId="Punkts">
    <w:name w:val="Punkts"/>
    <w:basedOn w:val="Normal"/>
    <w:next w:val="Apakpunkts"/>
    <w:rsid w:val="0012281F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12281F"/>
    <w:pPr>
      <w:numPr>
        <w:ilvl w:val="1"/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12281F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07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35077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7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507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C6E5E"/>
    <w:pPr>
      <w:ind w:left="720"/>
      <w:contextualSpacing/>
    </w:pPr>
  </w:style>
  <w:style w:type="paragraph" w:customStyle="1" w:styleId="Punkts">
    <w:name w:val="Punkts"/>
    <w:basedOn w:val="Normal"/>
    <w:next w:val="Apakpunkts"/>
    <w:rsid w:val="0012281F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12281F"/>
    <w:pPr>
      <w:numPr>
        <w:ilvl w:val="1"/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12281F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8</cp:revision>
  <cp:lastPrinted>2015-07-15T12:31:00Z</cp:lastPrinted>
  <dcterms:created xsi:type="dcterms:W3CDTF">2015-07-07T11:44:00Z</dcterms:created>
  <dcterms:modified xsi:type="dcterms:W3CDTF">2015-07-15T12:32:00Z</dcterms:modified>
</cp:coreProperties>
</file>