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77" w:rsidRDefault="00935077" w:rsidP="00935077">
      <w:pPr>
        <w:jc w:val="center"/>
        <w:rPr>
          <w:b/>
        </w:rPr>
      </w:pPr>
      <w:r>
        <w:rPr>
          <w:b/>
        </w:rPr>
        <w:t>Ādažu novada domes</w:t>
      </w:r>
    </w:p>
    <w:p w:rsidR="00935077" w:rsidRDefault="00935077" w:rsidP="00935077">
      <w:pPr>
        <w:jc w:val="center"/>
        <w:rPr>
          <w:b/>
        </w:rPr>
      </w:pPr>
      <w:r>
        <w:rPr>
          <w:b/>
        </w:rPr>
        <w:t>iepirkuma</w:t>
      </w:r>
    </w:p>
    <w:p w:rsidR="00935077" w:rsidRDefault="00935077" w:rsidP="00935077">
      <w:pPr>
        <w:jc w:val="center"/>
        <w:rPr>
          <w:b/>
          <w:sz w:val="8"/>
          <w:szCs w:val="8"/>
        </w:rPr>
      </w:pPr>
    </w:p>
    <w:p w:rsidR="00935077" w:rsidRDefault="00935077" w:rsidP="00935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„Ādažu novada domes iestāžu gāzes katlu māju un gāzes saimniecības apkalpošana”</w:t>
      </w:r>
    </w:p>
    <w:p w:rsidR="00935077" w:rsidRDefault="00935077" w:rsidP="00935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 ĀND 2015/91)</w:t>
      </w:r>
    </w:p>
    <w:p w:rsidR="00935077" w:rsidRDefault="00935077" w:rsidP="00935077">
      <w:pPr>
        <w:jc w:val="center"/>
        <w:rPr>
          <w:sz w:val="8"/>
          <w:szCs w:val="8"/>
        </w:rPr>
      </w:pPr>
    </w:p>
    <w:p w:rsidR="00935077" w:rsidRDefault="00935077" w:rsidP="00935077">
      <w:pPr>
        <w:jc w:val="center"/>
        <w:rPr>
          <w:sz w:val="8"/>
          <w:szCs w:val="8"/>
        </w:rPr>
      </w:pPr>
    </w:p>
    <w:p w:rsidR="00935077" w:rsidRDefault="00935077" w:rsidP="00935077">
      <w:pPr>
        <w:jc w:val="center"/>
      </w:pPr>
      <w:r>
        <w:t>iepirkuma komisijas sēdes</w:t>
      </w:r>
    </w:p>
    <w:p w:rsidR="00935077" w:rsidRDefault="00935077" w:rsidP="00935077">
      <w:pPr>
        <w:rPr>
          <w:sz w:val="8"/>
          <w:szCs w:val="8"/>
        </w:rPr>
      </w:pPr>
    </w:p>
    <w:p w:rsidR="00935077" w:rsidRDefault="00935077" w:rsidP="00935077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>
        <w:rPr>
          <w:b/>
        </w:rPr>
        <w:t xml:space="preserve"> Nr.05-30-2015/91-</w:t>
      </w:r>
      <w:r w:rsidR="00C66153">
        <w:rPr>
          <w:b/>
        </w:rPr>
        <w:t>4</w:t>
      </w:r>
    </w:p>
    <w:p w:rsidR="00935077" w:rsidRDefault="00935077" w:rsidP="00935077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935077" w:rsidTr="00935077">
        <w:tc>
          <w:tcPr>
            <w:tcW w:w="4261" w:type="dxa"/>
            <w:hideMark/>
          </w:tcPr>
          <w:p w:rsidR="00935077" w:rsidRDefault="00935077">
            <w:r>
              <w:t>Ādažos</w:t>
            </w:r>
          </w:p>
        </w:tc>
        <w:tc>
          <w:tcPr>
            <w:tcW w:w="4261" w:type="dxa"/>
            <w:hideMark/>
          </w:tcPr>
          <w:p w:rsidR="00935077" w:rsidRDefault="00935077" w:rsidP="00C66153">
            <w:pPr>
              <w:jc w:val="right"/>
            </w:pPr>
            <w:r>
              <w:rPr>
                <w:b/>
              </w:rPr>
              <w:t xml:space="preserve">2015. gada </w:t>
            </w:r>
            <w:r w:rsidR="00C66153">
              <w:rPr>
                <w:b/>
              </w:rPr>
              <w:t>7</w:t>
            </w:r>
            <w:r>
              <w:rPr>
                <w:b/>
              </w:rPr>
              <w:t>.jū</w:t>
            </w:r>
            <w:r w:rsidR="00C66153">
              <w:rPr>
                <w:b/>
              </w:rPr>
              <w:t>l</w:t>
            </w:r>
            <w:r>
              <w:rPr>
                <w:b/>
              </w:rPr>
              <w:t>ijā</w:t>
            </w:r>
          </w:p>
        </w:tc>
      </w:tr>
    </w:tbl>
    <w:p w:rsidR="00935077" w:rsidRDefault="00935077" w:rsidP="0093507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935077" w:rsidRDefault="00935077" w:rsidP="00935077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935077" w:rsidRDefault="00935077" w:rsidP="00935077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priekšsēdētājs atklāj sēdi plkst. 10:00</w:t>
      </w:r>
    </w:p>
    <w:p w:rsidR="00935077" w:rsidRDefault="00935077" w:rsidP="00935077">
      <w:pPr>
        <w:jc w:val="both"/>
        <w:rPr>
          <w:b/>
          <w:bCs/>
        </w:rPr>
      </w:pPr>
    </w:p>
    <w:p w:rsidR="00935077" w:rsidRDefault="00935077" w:rsidP="00935077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46"/>
        <w:gridCol w:w="4660"/>
      </w:tblGrid>
      <w:tr w:rsidR="00935077" w:rsidTr="00935077">
        <w:trPr>
          <w:trHeight w:val="1131"/>
        </w:trPr>
        <w:tc>
          <w:tcPr>
            <w:tcW w:w="3046" w:type="dxa"/>
          </w:tcPr>
          <w:p w:rsidR="00935077" w:rsidRDefault="00935077">
            <w:pPr>
              <w:ind w:left="72" w:right="-694"/>
              <w:jc w:val="both"/>
            </w:pPr>
            <w:r>
              <w:t xml:space="preserve">Komisijas priekšsēdētājs: </w:t>
            </w:r>
          </w:p>
          <w:p w:rsidR="00935077" w:rsidRDefault="00935077">
            <w:pPr>
              <w:ind w:left="72" w:right="-694"/>
              <w:jc w:val="both"/>
            </w:pPr>
            <w:r>
              <w:t>Komisijas locekļi:</w:t>
            </w:r>
          </w:p>
          <w:p w:rsidR="00935077" w:rsidRDefault="00935077">
            <w:pPr>
              <w:ind w:left="72" w:right="-694"/>
              <w:jc w:val="both"/>
            </w:pPr>
          </w:p>
          <w:p w:rsidR="00935077" w:rsidRDefault="00935077">
            <w:pPr>
              <w:ind w:left="72" w:right="-694"/>
              <w:jc w:val="both"/>
            </w:pPr>
          </w:p>
          <w:p w:rsidR="00935077" w:rsidRDefault="00935077">
            <w:pPr>
              <w:ind w:left="72" w:right="-694"/>
              <w:jc w:val="both"/>
            </w:pPr>
          </w:p>
          <w:p w:rsidR="00935077" w:rsidRDefault="00935077">
            <w:pPr>
              <w:ind w:left="72" w:right="-694"/>
              <w:jc w:val="both"/>
            </w:pPr>
          </w:p>
        </w:tc>
        <w:tc>
          <w:tcPr>
            <w:tcW w:w="4660" w:type="dxa"/>
            <w:hideMark/>
          </w:tcPr>
          <w:p w:rsidR="00935077" w:rsidRDefault="00935077">
            <w:pPr>
              <w:ind w:right="-694"/>
              <w:jc w:val="both"/>
            </w:pPr>
            <w:r>
              <w:t>Artis Brūvers</w:t>
            </w:r>
          </w:p>
          <w:p w:rsidR="00935077" w:rsidRDefault="00935077">
            <w:pPr>
              <w:jc w:val="both"/>
            </w:pPr>
            <w:r>
              <w:t>Rita Šteina</w:t>
            </w:r>
          </w:p>
          <w:p w:rsidR="00935077" w:rsidRDefault="00935077">
            <w:r>
              <w:t>Everita Kāpa</w:t>
            </w:r>
          </w:p>
          <w:p w:rsidR="00935077" w:rsidRDefault="00935077">
            <w:r>
              <w:t>Uģis Dambis</w:t>
            </w:r>
          </w:p>
          <w:p w:rsidR="00935077" w:rsidRDefault="00935077">
            <w:r>
              <w:t>Valērijs Bulāns</w:t>
            </w:r>
          </w:p>
          <w:p w:rsidR="00935077" w:rsidRDefault="00935077">
            <w:pPr>
              <w:jc w:val="both"/>
            </w:pPr>
            <w:r>
              <w:t>Halfors Krasts</w:t>
            </w:r>
          </w:p>
        </w:tc>
      </w:tr>
    </w:tbl>
    <w:p w:rsidR="00935077" w:rsidRDefault="00935077" w:rsidP="00935077">
      <w:pPr>
        <w:rPr>
          <w:b/>
        </w:rPr>
      </w:pPr>
      <w:r>
        <w:rPr>
          <w:b/>
        </w:rPr>
        <w:t xml:space="preserve">Komisijas izveides pamats: </w:t>
      </w:r>
    </w:p>
    <w:p w:rsidR="00935077" w:rsidRDefault="00935077" w:rsidP="00935077">
      <w:pPr>
        <w:ind w:left="709" w:right="26"/>
        <w:jc w:val="both"/>
        <w:rPr>
          <w:color w:val="FF0000"/>
        </w:rPr>
      </w:pPr>
      <w:r>
        <w:t xml:space="preserve">Ādažu novada domes 2013.gada 24.septembra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>
          <w:t>lēmums</w:t>
        </w:r>
      </w:smartTag>
      <w:r>
        <w:t xml:space="preserve"> Nr. 215. un Ādažu novada domes 2014.gada 28.jūlija ārkārtas domes sēdes lēmums Nr. 17§ 2.</w:t>
      </w:r>
    </w:p>
    <w:p w:rsidR="00935077" w:rsidRDefault="00935077" w:rsidP="00935077">
      <w:pPr>
        <w:jc w:val="both"/>
        <w:rPr>
          <w:b/>
          <w:bCs/>
        </w:rPr>
      </w:pPr>
    </w:p>
    <w:p w:rsidR="00935077" w:rsidRDefault="00935077" w:rsidP="00935077">
      <w:pPr>
        <w:jc w:val="both"/>
      </w:pPr>
      <w:r>
        <w:rPr>
          <w:b/>
          <w:bCs/>
        </w:rPr>
        <w:t>Darba kārtībā:</w:t>
      </w:r>
    </w:p>
    <w:p w:rsidR="00935077" w:rsidRDefault="00935077" w:rsidP="00935077">
      <w:pPr>
        <w:tabs>
          <w:tab w:val="left" w:pos="993"/>
        </w:tabs>
        <w:ind w:left="709"/>
        <w:jc w:val="both"/>
      </w:pPr>
      <w:r>
        <w:t xml:space="preserve">Piedāvājumu </w:t>
      </w:r>
      <w:r w:rsidR="00EC6E5E">
        <w:t>vērtēšana</w:t>
      </w:r>
      <w:r>
        <w:t xml:space="preserve"> iepirkumā „Ādažu novada domes iestāžu gāzes katlu māju un gāzes saimniecības apkalpošana” (ID.Nr.: ĀND 2015/91).</w:t>
      </w:r>
    </w:p>
    <w:p w:rsidR="00935077" w:rsidRDefault="00935077" w:rsidP="00935077">
      <w:pPr>
        <w:tabs>
          <w:tab w:val="left" w:pos="993"/>
        </w:tabs>
        <w:jc w:val="both"/>
        <w:rPr>
          <w:b/>
        </w:rPr>
      </w:pPr>
    </w:p>
    <w:p w:rsidR="00935077" w:rsidRDefault="00935077" w:rsidP="00935077">
      <w:pPr>
        <w:tabs>
          <w:tab w:val="left" w:pos="993"/>
        </w:tabs>
        <w:jc w:val="both"/>
        <w:rPr>
          <w:b/>
        </w:rPr>
      </w:pPr>
      <w:r>
        <w:rPr>
          <w:b/>
        </w:rPr>
        <w:t>Darba gaita:</w:t>
      </w:r>
    </w:p>
    <w:p w:rsidR="00935077" w:rsidRDefault="00935077" w:rsidP="00EC6E5E">
      <w:pPr>
        <w:pStyle w:val="ListParagraph"/>
        <w:numPr>
          <w:ilvl w:val="0"/>
          <w:numId w:val="4"/>
        </w:numPr>
        <w:ind w:right="43"/>
        <w:jc w:val="both"/>
      </w:pPr>
      <w:r>
        <w:t xml:space="preserve">A. Brūvers </w:t>
      </w:r>
      <w:r w:rsidR="00EC6E5E">
        <w:t>atgādina,</w:t>
      </w:r>
      <w:r>
        <w:t xml:space="preserve"> ka noteiktajā termiņā piedāvājumus </w:t>
      </w:r>
      <w:r w:rsidR="00EC6E5E">
        <w:t xml:space="preserve">bija </w:t>
      </w:r>
      <w:r>
        <w:t>iesnieguši 5 pretendenti</w:t>
      </w:r>
      <w:r w:rsidR="00EC6E5E">
        <w:t>:</w:t>
      </w:r>
    </w:p>
    <w:p w:rsidR="00935077" w:rsidRDefault="00935077" w:rsidP="00935077">
      <w:pPr>
        <w:ind w:left="720" w:right="43" w:hanging="720"/>
        <w:jc w:val="both"/>
      </w:pPr>
    </w:p>
    <w:tbl>
      <w:tblPr>
        <w:tblW w:w="80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187"/>
        <w:gridCol w:w="3113"/>
      </w:tblGrid>
      <w:tr w:rsidR="00935077" w:rsidTr="00935077">
        <w:trPr>
          <w:trHeight w:val="3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Default="00935077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Default="00935077">
            <w:pPr>
              <w:rPr>
                <w:b/>
              </w:rPr>
            </w:pPr>
            <w:r>
              <w:rPr>
                <w:b/>
              </w:rPr>
              <w:t>Pretendents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Default="00935077">
            <w:pPr>
              <w:rPr>
                <w:b/>
              </w:rPr>
            </w:pPr>
            <w:r>
              <w:rPr>
                <w:b/>
              </w:rPr>
              <w:t>Piedāvātā cena EURO (bez PVN)</w:t>
            </w:r>
          </w:p>
        </w:tc>
      </w:tr>
      <w:tr w:rsidR="00306897" w:rsidRPr="00306897" w:rsidTr="00935077">
        <w:trPr>
          <w:trHeight w:val="22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Pr="005E78D3" w:rsidRDefault="00935077">
            <w:pPr>
              <w:ind w:left="360"/>
              <w:jc w:val="center"/>
            </w:pPr>
            <w:r w:rsidRPr="005E78D3"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Pr="005E78D3" w:rsidRDefault="00935077">
            <w:r w:rsidRPr="005E78D3">
              <w:t>A/S „LAFIPA”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Pr="005E78D3" w:rsidRDefault="00935077">
            <w:r w:rsidRPr="005E78D3">
              <w:t>7870.32</w:t>
            </w:r>
          </w:p>
        </w:tc>
      </w:tr>
      <w:tr w:rsidR="00935077" w:rsidTr="00935077">
        <w:trPr>
          <w:trHeight w:val="22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Pr="005E78D3" w:rsidRDefault="00935077">
            <w:pPr>
              <w:ind w:left="360"/>
              <w:jc w:val="center"/>
            </w:pPr>
            <w:r w:rsidRPr="005E78D3"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Pr="005E78D3" w:rsidRDefault="00935077">
            <w:r w:rsidRPr="005E78D3">
              <w:t>SIA „WESEMANN”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Pr="005E78D3" w:rsidRDefault="00935077">
            <w:r w:rsidRPr="005E78D3">
              <w:t>8928.00</w:t>
            </w:r>
          </w:p>
        </w:tc>
      </w:tr>
      <w:tr w:rsidR="00935077" w:rsidTr="00935077">
        <w:trPr>
          <w:trHeight w:val="22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Pr="005E78D3" w:rsidRDefault="00935077">
            <w:pPr>
              <w:ind w:left="360"/>
              <w:jc w:val="center"/>
            </w:pPr>
            <w:r w:rsidRPr="005E78D3">
              <w:t>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Pr="005E78D3" w:rsidRDefault="00935077">
            <w:r w:rsidRPr="005E78D3">
              <w:t>SIA „BALTENEKO”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Pr="005E78D3" w:rsidRDefault="00935077">
            <w:r w:rsidRPr="005E78D3">
              <w:t>7956.00</w:t>
            </w:r>
          </w:p>
        </w:tc>
      </w:tr>
      <w:tr w:rsidR="00935077" w:rsidTr="00935077">
        <w:trPr>
          <w:trHeight w:val="22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Pr="005E78D3" w:rsidRDefault="00935077">
            <w:pPr>
              <w:ind w:left="360"/>
              <w:jc w:val="center"/>
            </w:pPr>
            <w:r w:rsidRPr="005E78D3">
              <w:t>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Pr="005E78D3" w:rsidRDefault="00935077">
            <w:r w:rsidRPr="005E78D3">
              <w:t>SIA „APKURE EV”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Pr="005E78D3" w:rsidRDefault="00935077">
            <w:r w:rsidRPr="005E78D3">
              <w:t>8421.84</w:t>
            </w:r>
          </w:p>
        </w:tc>
      </w:tr>
      <w:tr w:rsidR="00935077" w:rsidTr="00935077">
        <w:trPr>
          <w:trHeight w:val="22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Pr="005E78D3" w:rsidRDefault="00935077">
            <w:pPr>
              <w:ind w:left="360"/>
              <w:jc w:val="center"/>
            </w:pPr>
            <w:r w:rsidRPr="005E78D3">
              <w:t>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Pr="005E78D3" w:rsidRDefault="00935077">
            <w:r w:rsidRPr="005E78D3">
              <w:t>SIA „KATLU NAMS”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Pr="005E78D3" w:rsidRDefault="00935077" w:rsidP="00EC6E5E">
            <w:pPr>
              <w:pStyle w:val="ListParagraph"/>
              <w:numPr>
                <w:ilvl w:val="0"/>
                <w:numId w:val="6"/>
              </w:numPr>
            </w:pPr>
            <w:r w:rsidRPr="005E78D3">
              <w:t>479.97</w:t>
            </w:r>
          </w:p>
        </w:tc>
      </w:tr>
    </w:tbl>
    <w:p w:rsidR="00EC6E5E" w:rsidRDefault="00EC6E5E" w:rsidP="00EC6E5E">
      <w:pPr>
        <w:pStyle w:val="ListParagraph"/>
        <w:ind w:right="43"/>
        <w:jc w:val="both"/>
      </w:pPr>
    </w:p>
    <w:p w:rsidR="00EC6E5E" w:rsidRDefault="00C66153" w:rsidP="00EC6E5E">
      <w:pPr>
        <w:pStyle w:val="ListParagraph"/>
        <w:numPr>
          <w:ilvl w:val="0"/>
          <w:numId w:val="4"/>
        </w:numPr>
        <w:ind w:right="43"/>
        <w:jc w:val="both"/>
      </w:pPr>
      <w:r>
        <w:t>A.Brūvers atgādina, ka 19.jūnija sēdē tika izvērtēti visu pretendentu kvalifikācijas dokumenti un tika konstatēts, ka nav skaidri secināma kvalifikācijas atbilstība nevienam no pretendentiem.</w:t>
      </w:r>
    </w:p>
    <w:p w:rsidR="00C66153" w:rsidRDefault="00C66153" w:rsidP="00EC6E5E">
      <w:pPr>
        <w:pStyle w:val="ListParagraph"/>
        <w:numPr>
          <w:ilvl w:val="0"/>
          <w:numId w:val="4"/>
        </w:numPr>
        <w:ind w:right="43"/>
        <w:jc w:val="both"/>
      </w:pPr>
      <w:r>
        <w:t xml:space="preserve">R.Šteina ziņo, ka </w:t>
      </w:r>
      <w:r>
        <w:t>A/S „LAFIPA”, SIA „WESEMANN”, SIA „BALTENEKO”, SIA „KATLU NAMS” un SIA „APKURE EV”</w:t>
      </w:r>
      <w:r>
        <w:t xml:space="preserve"> tika pieprasīts līdz 2.jūlijam iesniegt pieprasīto papildus informāciju, ko visi pretendenti arī ir izdarījuši.</w:t>
      </w:r>
    </w:p>
    <w:p w:rsidR="00C66153" w:rsidRDefault="00C66153" w:rsidP="00EC6E5E">
      <w:pPr>
        <w:pStyle w:val="ListParagraph"/>
        <w:numPr>
          <w:ilvl w:val="0"/>
          <w:numId w:val="4"/>
        </w:numPr>
        <w:ind w:right="43"/>
        <w:jc w:val="both"/>
      </w:pPr>
      <w:r>
        <w:t>Komisija uzsāk iesniegtās papildus informācijas izvērtēšanu.</w:t>
      </w:r>
    </w:p>
    <w:p w:rsidR="00C66153" w:rsidRDefault="00C66153" w:rsidP="00EC6E5E">
      <w:pPr>
        <w:pStyle w:val="ListParagraph"/>
        <w:numPr>
          <w:ilvl w:val="0"/>
          <w:numId w:val="4"/>
        </w:numPr>
        <w:ind w:right="43"/>
        <w:jc w:val="both"/>
      </w:pPr>
      <w:r>
        <w:lastRenderedPageBreak/>
        <w:t xml:space="preserve">Izvērtējot </w:t>
      </w:r>
      <w:r w:rsidR="00956AD2">
        <w:t xml:space="preserve">SIA „WESEMANN” iesniegto papildus informāciju un pašā piedāvājumā esošo informāciju, komisija secina, ka </w:t>
      </w:r>
      <w:r w:rsidR="00CA265B">
        <w:t>tā</w:t>
      </w:r>
      <w:r w:rsidR="004B1C0F">
        <w:t>s</w:t>
      </w:r>
      <w:r w:rsidR="00CA265B">
        <w:t xml:space="preserve"> pieredze pilnībā atbilst nolikuma </w:t>
      </w:r>
      <w:r w:rsidR="00CA265B">
        <w:t>7.2.a) punkta prasībām</w:t>
      </w:r>
      <w:r w:rsidR="00CA265B">
        <w:t>.</w:t>
      </w:r>
    </w:p>
    <w:p w:rsidR="00454234" w:rsidRDefault="00454234" w:rsidP="00454234">
      <w:pPr>
        <w:pStyle w:val="ListParagraph"/>
        <w:numPr>
          <w:ilvl w:val="0"/>
          <w:numId w:val="4"/>
        </w:numPr>
        <w:ind w:right="43"/>
        <w:jc w:val="both"/>
      </w:pPr>
      <w:r>
        <w:t>Izvērtējot SIA „</w:t>
      </w:r>
      <w:r w:rsidR="00466608">
        <w:t>KATLU NAMS</w:t>
      </w:r>
      <w:r>
        <w:t>”</w:t>
      </w:r>
      <w:r>
        <w:t xml:space="preserve"> </w:t>
      </w:r>
      <w:r>
        <w:t>iesniegto papildus informāciju un pašā piedāvājumā esošo informāciju, komisija secina, ka tā</w:t>
      </w:r>
      <w:r w:rsidR="004B1C0F">
        <w:t>s</w:t>
      </w:r>
      <w:r>
        <w:t xml:space="preserve"> pieredze </w:t>
      </w:r>
      <w:r>
        <w:t>ne</w:t>
      </w:r>
      <w:r>
        <w:t>atbilst nolikuma 7.2.a) punkta prasībām</w:t>
      </w:r>
      <w:r>
        <w:t>, jo nav konstatējams, ka pretendents būtu izpildījis vismaz 3 (trīs) līdzvērtīgus līgumu</w:t>
      </w:r>
      <w:r w:rsidR="00703C31">
        <w:t xml:space="preserve">s – 2 </w:t>
      </w:r>
      <w:r w:rsidR="00F87ED2">
        <w:t>(divu)</w:t>
      </w:r>
      <w:r w:rsidR="00703C31">
        <w:t xml:space="preserve"> no 3 (trīs) līgumu gada līgumcenas nesasniedz pretendenta piedāvāto gada līgumcenu attiecīgajā iepirkumā.</w:t>
      </w:r>
    </w:p>
    <w:p w:rsidR="00703C31" w:rsidRPr="00703C31" w:rsidRDefault="00703C31" w:rsidP="00703C31">
      <w:pPr>
        <w:shd w:val="clear" w:color="auto" w:fill="D9D9D9" w:themeFill="background1" w:themeFillShade="D9"/>
        <w:ind w:left="360"/>
        <w:jc w:val="both"/>
        <w:rPr>
          <w:b/>
          <w:bCs/>
        </w:rPr>
      </w:pPr>
      <w:r w:rsidRPr="00703C31">
        <w:rPr>
          <w:b/>
          <w:bCs/>
        </w:rPr>
        <w:t>Komisija</w:t>
      </w:r>
      <w:r w:rsidR="0030152C">
        <w:rPr>
          <w:b/>
          <w:bCs/>
        </w:rPr>
        <w:t xml:space="preserve"> vienbalsīgi</w:t>
      </w:r>
      <w:r w:rsidRPr="00703C31">
        <w:rPr>
          <w:b/>
          <w:bCs/>
        </w:rPr>
        <w:t xml:space="preserve"> nolemj: </w:t>
      </w:r>
    </w:p>
    <w:p w:rsidR="00703C31" w:rsidRDefault="00703C31" w:rsidP="00703C31">
      <w:pPr>
        <w:pStyle w:val="ListParagraph"/>
        <w:shd w:val="clear" w:color="auto" w:fill="D9D9D9" w:themeFill="background1" w:themeFillShade="D9"/>
        <w:ind w:right="43"/>
        <w:jc w:val="both"/>
      </w:pPr>
      <w:r>
        <w:t>Ņemot vērā iepriekšminēto, komisija vienbalsīgi lemj izslēgt SIA „</w:t>
      </w:r>
      <w:r w:rsidR="00466608">
        <w:t>KATLU NAMS</w:t>
      </w:r>
      <w:r>
        <w:t>” piedāvājumu no turpmākas piedāvājumu izvērtēšanas, pamatojoties uz tā neatbilstību nolikuma 7.2.a) punkta prasībām.</w:t>
      </w:r>
    </w:p>
    <w:p w:rsidR="00CC74D8" w:rsidRDefault="00CC74D8" w:rsidP="00CC74D8">
      <w:pPr>
        <w:pStyle w:val="ListParagraph"/>
        <w:numPr>
          <w:ilvl w:val="0"/>
          <w:numId w:val="4"/>
        </w:numPr>
        <w:ind w:right="43"/>
        <w:jc w:val="both"/>
      </w:pPr>
      <w:r>
        <w:t xml:space="preserve">Izvērtējot SIA „APKURE EV” iesniegto papildus informāciju un pašā piedāvājumā esošo informāciju, komisija secina, ka </w:t>
      </w:r>
      <w:r w:rsidR="00466608">
        <w:t>tā</w:t>
      </w:r>
      <w:r w:rsidR="004B1C0F">
        <w:t>s</w:t>
      </w:r>
      <w:r w:rsidR="00466608">
        <w:t xml:space="preserve"> pieredze pilnībā atbilst nolikuma 7.2.a) punkta prasībām.</w:t>
      </w:r>
    </w:p>
    <w:p w:rsidR="00F87ED2" w:rsidRDefault="00F87ED2" w:rsidP="00F87ED2">
      <w:pPr>
        <w:pStyle w:val="ListParagraph"/>
        <w:numPr>
          <w:ilvl w:val="0"/>
          <w:numId w:val="4"/>
        </w:numPr>
        <w:ind w:right="43"/>
        <w:jc w:val="both"/>
      </w:pPr>
      <w:r>
        <w:t xml:space="preserve">Izvērtējot </w:t>
      </w:r>
      <w:r>
        <w:t>A/S</w:t>
      </w:r>
      <w:r>
        <w:t xml:space="preserve"> „</w:t>
      </w:r>
      <w:r>
        <w:t>LAFIPA</w:t>
      </w:r>
      <w:r>
        <w:t>” iesniegto papildus informāciju un pašā piedāvājumā esošo informāciju, komisija secina, ka tā pieredze neatbilst nolikuma 7.2.a) punkta prasībām, jo nav konstatējams, ka pretendents būtu izpildījis vismaz 3 (trīs) līdzvērtīgus līgumus</w:t>
      </w:r>
      <w:r w:rsidR="00863FE4">
        <w:t>, kuru</w:t>
      </w:r>
      <w:r>
        <w:t xml:space="preserve"> </w:t>
      </w:r>
      <w:r w:rsidR="00863FE4">
        <w:t>viena</w:t>
      </w:r>
      <w:r w:rsidR="00306897">
        <w:t xml:space="preserve"> gada</w:t>
      </w:r>
      <w:r w:rsidR="00863FE4">
        <w:t xml:space="preserve"> </w:t>
      </w:r>
      <w:r>
        <w:t xml:space="preserve">līgumcenas </w:t>
      </w:r>
      <w:r w:rsidR="00306897">
        <w:t xml:space="preserve">būtu </w:t>
      </w:r>
      <w:r>
        <w:t>pretendenta piedāvāt</w:t>
      </w:r>
      <w:r w:rsidR="00306897">
        <w:t>ās</w:t>
      </w:r>
      <w:r>
        <w:t xml:space="preserve"> gada līgumcen</w:t>
      </w:r>
      <w:r w:rsidR="00306897">
        <w:t>as</w:t>
      </w:r>
      <w:r>
        <w:t xml:space="preserve"> attiecīgajā iepirkumā</w:t>
      </w:r>
      <w:r w:rsidR="00306897">
        <w:t xml:space="preserve"> apjomā, kā arī – par šiem līgumiem būtu sniegta pozitīva pasūtītāja atsauksme</w:t>
      </w:r>
      <w:r>
        <w:t>.</w:t>
      </w:r>
    </w:p>
    <w:p w:rsidR="00F87ED2" w:rsidRPr="00703C31" w:rsidRDefault="00F87ED2" w:rsidP="00F87ED2">
      <w:pPr>
        <w:shd w:val="clear" w:color="auto" w:fill="D9D9D9" w:themeFill="background1" w:themeFillShade="D9"/>
        <w:ind w:left="360"/>
        <w:jc w:val="both"/>
        <w:rPr>
          <w:b/>
          <w:bCs/>
        </w:rPr>
      </w:pPr>
      <w:r w:rsidRPr="00703C31">
        <w:rPr>
          <w:b/>
          <w:bCs/>
        </w:rPr>
        <w:t xml:space="preserve">Komisija </w:t>
      </w:r>
      <w:r w:rsidR="0030152C">
        <w:rPr>
          <w:b/>
          <w:bCs/>
        </w:rPr>
        <w:t xml:space="preserve">vienbalsīgi </w:t>
      </w:r>
      <w:r w:rsidRPr="00703C31">
        <w:rPr>
          <w:b/>
          <w:bCs/>
        </w:rPr>
        <w:t xml:space="preserve">nolemj: </w:t>
      </w:r>
    </w:p>
    <w:p w:rsidR="00F87ED2" w:rsidRDefault="00F87ED2" w:rsidP="00F87ED2">
      <w:pPr>
        <w:pStyle w:val="ListParagraph"/>
        <w:shd w:val="clear" w:color="auto" w:fill="D9D9D9" w:themeFill="background1" w:themeFillShade="D9"/>
        <w:ind w:right="43"/>
        <w:jc w:val="both"/>
      </w:pPr>
      <w:r>
        <w:t xml:space="preserve">Ņemot vērā iepriekšminēto, komisija vienbalsīgi lemj izslēgt </w:t>
      </w:r>
      <w:r w:rsidR="00306897">
        <w:t>A/S „LAFIPA”</w:t>
      </w:r>
      <w:proofErr w:type="gramStart"/>
      <w:r w:rsidR="00306897">
        <w:t xml:space="preserve"> </w:t>
      </w:r>
      <w:r w:rsidR="00306897">
        <w:t xml:space="preserve"> </w:t>
      </w:r>
      <w:proofErr w:type="gramEnd"/>
      <w:r>
        <w:t>piedāvājumu no turpmākas piedāvājumu izvērtēšanas, pamatojoties uz tā neatbilstību nolikuma 7.2.a) punkta prasībām.</w:t>
      </w:r>
    </w:p>
    <w:p w:rsidR="00306897" w:rsidRDefault="00306897" w:rsidP="00306897">
      <w:pPr>
        <w:pStyle w:val="ListParagraph"/>
        <w:numPr>
          <w:ilvl w:val="0"/>
          <w:numId w:val="4"/>
        </w:numPr>
        <w:ind w:right="43"/>
        <w:jc w:val="both"/>
      </w:pPr>
      <w:r>
        <w:t xml:space="preserve">Izvērtējot SIA „BALTENEKO” iesniegto papildus informāciju </w:t>
      </w:r>
      <w:r w:rsidR="004B1C0F">
        <w:t>kopsakarā ar</w:t>
      </w:r>
      <w:r>
        <w:t xml:space="preserve"> pašā piedāvājumā esošo informāciju, komisija secina, ka tā</w:t>
      </w:r>
      <w:r w:rsidR="004B1C0F">
        <w:t>s</w:t>
      </w:r>
      <w:r>
        <w:t xml:space="preserve"> pieredze neatbilst nolikuma 7.2.a) punkta prasībām, jo nav konstatējams, ka pretendents būtu izpildījis vismaz 3 (trīs) līdzvērtīgus līgumus, kuru viena gada līgumcenas būtu pretendenta piedāvātās gada līgumcenas attiecīgajā iepirkumā apjomā, kā arī – par šiem līgumiem būtu sniegta pozitīva pasūtītāja atsauksme.</w:t>
      </w:r>
    </w:p>
    <w:p w:rsidR="00306897" w:rsidRPr="00703C31" w:rsidRDefault="00306897" w:rsidP="00306897">
      <w:pPr>
        <w:shd w:val="clear" w:color="auto" w:fill="D9D9D9" w:themeFill="background1" w:themeFillShade="D9"/>
        <w:ind w:left="360"/>
        <w:jc w:val="both"/>
        <w:rPr>
          <w:b/>
          <w:bCs/>
        </w:rPr>
      </w:pPr>
      <w:r w:rsidRPr="00703C31">
        <w:rPr>
          <w:b/>
          <w:bCs/>
        </w:rPr>
        <w:t xml:space="preserve">Komisija </w:t>
      </w:r>
      <w:r w:rsidR="0030152C">
        <w:rPr>
          <w:b/>
          <w:bCs/>
        </w:rPr>
        <w:t xml:space="preserve">vienbalsīgi </w:t>
      </w:r>
      <w:r w:rsidRPr="00703C31">
        <w:rPr>
          <w:b/>
          <w:bCs/>
        </w:rPr>
        <w:t xml:space="preserve">nolemj: </w:t>
      </w:r>
    </w:p>
    <w:p w:rsidR="00306897" w:rsidRDefault="00306897" w:rsidP="00306897">
      <w:pPr>
        <w:pStyle w:val="ListParagraph"/>
        <w:shd w:val="clear" w:color="auto" w:fill="D9D9D9" w:themeFill="background1" w:themeFillShade="D9"/>
        <w:ind w:right="43"/>
        <w:jc w:val="both"/>
      </w:pPr>
      <w:r>
        <w:t xml:space="preserve">Ņemot vērā iepriekšminēto, komisija vienbalsīgi lemj izslēgt </w:t>
      </w:r>
      <w:r w:rsidR="004B1C0F">
        <w:t>SIA „BALTENEKO”</w:t>
      </w:r>
      <w:r>
        <w:t xml:space="preserve"> piedāvājumu no turpmākas piedāvājumu izvērtēšanas, pamatojoties uz tā neatbilstību nolikuma 7.2.a) punkta prasībām.</w:t>
      </w:r>
    </w:p>
    <w:p w:rsidR="00EC6E5E" w:rsidRDefault="00EC6E5E" w:rsidP="00EC6E5E">
      <w:pPr>
        <w:pStyle w:val="ListParagraph"/>
        <w:numPr>
          <w:ilvl w:val="0"/>
          <w:numId w:val="4"/>
        </w:numPr>
        <w:ind w:right="43"/>
        <w:jc w:val="both"/>
      </w:pPr>
      <w:r>
        <w:t xml:space="preserve">Komisija secina, ka </w:t>
      </w:r>
      <w:r w:rsidR="004B1C0F">
        <w:t xml:space="preserve">tikai </w:t>
      </w:r>
      <w:r w:rsidR="005E78D3">
        <w:t>SIA „WESEMANN”</w:t>
      </w:r>
      <w:r w:rsidR="005E78D3">
        <w:t xml:space="preserve"> un </w:t>
      </w:r>
      <w:r w:rsidR="005E78D3">
        <w:t>SIA „APKURE EV”</w:t>
      </w:r>
      <w:r w:rsidR="005E78D3">
        <w:t xml:space="preserve"> kvalifikācija ir atbilstoša nolikuma prasībām, līdz ar to tikai šo pretende</w:t>
      </w:r>
      <w:r w:rsidR="00D77752">
        <w:t>ntu piedāvājumus iespējams turpināt vērtēt tehnisko un finanšu piedāvājumu izvērtēšanas posmos.</w:t>
      </w:r>
    </w:p>
    <w:p w:rsidR="00D77752" w:rsidRDefault="00D77752" w:rsidP="00EC6E5E">
      <w:pPr>
        <w:pStyle w:val="ListParagraph"/>
        <w:numPr>
          <w:ilvl w:val="0"/>
          <w:numId w:val="4"/>
        </w:numPr>
        <w:ind w:right="43"/>
        <w:jc w:val="both"/>
      </w:pPr>
      <w:r>
        <w:t xml:space="preserve">Komisija izvērtē </w:t>
      </w:r>
      <w:r>
        <w:t>SIA „WESEMANN” un SIA „APKURE EV”</w:t>
      </w:r>
      <w:r>
        <w:t xml:space="preserve"> tehniskos piedāvājumus un secina, ka </w:t>
      </w:r>
      <w:r w:rsidR="0016792C">
        <w:t>tie pilnībā atbilst nolikuma prasībām.</w:t>
      </w:r>
    </w:p>
    <w:p w:rsidR="0016792C" w:rsidRDefault="0016792C" w:rsidP="0016792C">
      <w:pPr>
        <w:pStyle w:val="ListParagraph"/>
        <w:numPr>
          <w:ilvl w:val="0"/>
          <w:numId w:val="4"/>
        </w:numPr>
        <w:ind w:right="43"/>
        <w:jc w:val="both"/>
      </w:pPr>
      <w:r>
        <w:t xml:space="preserve">Komisija izvērtē </w:t>
      </w:r>
      <w:r>
        <w:t>SIA „WESEMANN” un SIA „APKURE EV”</w:t>
      </w:r>
      <w:r>
        <w:t xml:space="preserve"> finanšu</w:t>
      </w:r>
      <w:r>
        <w:t xml:space="preserve"> piedāvājumus un secina, ka tie pi</w:t>
      </w:r>
      <w:r>
        <w:t>lnībā atbilst nolikuma prasībām, kā arī – to cenas ir pamatotas, bez aritmētiskajām kļūdām.</w:t>
      </w:r>
    </w:p>
    <w:p w:rsidR="0016792C" w:rsidRDefault="0016792C" w:rsidP="0016792C">
      <w:pPr>
        <w:pStyle w:val="ListParagraph"/>
        <w:numPr>
          <w:ilvl w:val="0"/>
          <w:numId w:val="4"/>
        </w:numPr>
        <w:ind w:right="43"/>
        <w:jc w:val="both"/>
      </w:pPr>
      <w:r>
        <w:t xml:space="preserve">Komisija pārbauda ziņas par lētāko pretendentu - </w:t>
      </w:r>
      <w:r>
        <w:t>SIA „APKURE EV”</w:t>
      </w:r>
      <w:r w:rsidR="0030152C">
        <w:t xml:space="preserve"> – publiskās datu bāzēs un secina, ka uz pretendentu nav attiecināmi Publisko iepirkumu likuma 8.</w:t>
      </w:r>
      <m:oMath>
        <m:r>
          <w:rPr>
            <w:rFonts w:ascii="Cambria Math" w:hAnsi="Cambria Math"/>
          </w:rPr>
          <m:t>²</m:t>
        </m:r>
      </m:oMath>
      <w:r w:rsidR="0030152C">
        <w:t xml:space="preserve"> panta piektajā daļā noteiktie izslēgšanas nosacījumi.</w:t>
      </w:r>
    </w:p>
    <w:p w:rsidR="0030152C" w:rsidRDefault="0030152C" w:rsidP="0016792C">
      <w:pPr>
        <w:pStyle w:val="ListParagraph"/>
        <w:numPr>
          <w:ilvl w:val="0"/>
          <w:numId w:val="4"/>
        </w:numPr>
        <w:ind w:right="43"/>
        <w:jc w:val="both"/>
      </w:pPr>
      <w:r>
        <w:t>Komisija lemj par līguma slēgšanas tiesību piešķiršanu atbilstoši nolikuma 9.2.punkta noteikumiem (piedāvājums ar zemāko cenu).</w:t>
      </w:r>
    </w:p>
    <w:p w:rsidR="00935077" w:rsidRDefault="00935077" w:rsidP="00671557">
      <w:pPr>
        <w:shd w:val="clear" w:color="auto" w:fill="D9D9D9" w:themeFill="background1" w:themeFillShade="D9"/>
        <w:jc w:val="both"/>
        <w:rPr>
          <w:b/>
          <w:bCs/>
        </w:rPr>
      </w:pPr>
      <w:r>
        <w:rPr>
          <w:b/>
          <w:bCs/>
        </w:rPr>
        <w:lastRenderedPageBreak/>
        <w:t>Komisija</w:t>
      </w:r>
      <w:r w:rsidR="0030152C">
        <w:rPr>
          <w:b/>
          <w:bCs/>
        </w:rPr>
        <w:t xml:space="preserve"> vienbalsīgi</w:t>
      </w:r>
      <w:r>
        <w:rPr>
          <w:b/>
          <w:bCs/>
        </w:rPr>
        <w:t xml:space="preserve"> nolemj: </w:t>
      </w:r>
    </w:p>
    <w:p w:rsidR="004D1877" w:rsidRDefault="004D1877" w:rsidP="00671557">
      <w:pPr>
        <w:shd w:val="clear" w:color="auto" w:fill="D9D9D9" w:themeFill="background1" w:themeFillShade="D9"/>
        <w:jc w:val="both"/>
        <w:rPr>
          <w:b/>
          <w:bCs/>
        </w:rPr>
      </w:pPr>
    </w:p>
    <w:p w:rsidR="0030152C" w:rsidRDefault="0030152C" w:rsidP="00671557">
      <w:pPr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360" w:right="43" w:hanging="360"/>
        <w:jc w:val="both"/>
        <w:rPr>
          <w:b/>
        </w:rPr>
      </w:pPr>
      <w:r w:rsidRPr="00424C60">
        <w:rPr>
          <w:b/>
        </w:rPr>
        <w:t>Piešķirt līguma slēgšanas tiesības SIA „APKURE EV”</w:t>
      </w:r>
      <w:r w:rsidR="00424C60" w:rsidRPr="00424C60">
        <w:rPr>
          <w:b/>
        </w:rPr>
        <w:t xml:space="preserve"> (kopējā līgumcena - </w:t>
      </w:r>
      <w:r w:rsidR="00424C60" w:rsidRPr="00424C60">
        <w:rPr>
          <w:b/>
        </w:rPr>
        <w:t>8421.84</w:t>
      </w:r>
      <w:r w:rsidR="00424C60" w:rsidRPr="00424C60">
        <w:rPr>
          <w:b/>
        </w:rPr>
        <w:t xml:space="preserve"> </w:t>
      </w:r>
      <w:proofErr w:type="spellStart"/>
      <w:r w:rsidR="00424C60" w:rsidRPr="00424C60">
        <w:rPr>
          <w:b/>
        </w:rPr>
        <w:t>euro</w:t>
      </w:r>
      <w:proofErr w:type="spellEnd"/>
      <w:r w:rsidR="00424C60" w:rsidRPr="00424C60">
        <w:rPr>
          <w:b/>
        </w:rPr>
        <w:t>, neskaitot PVN)</w:t>
      </w:r>
      <w:r w:rsidR="00424C60">
        <w:rPr>
          <w:b/>
        </w:rPr>
        <w:t>, jo tā piedāvājums atbilda visām nolikuma prasībām un bija ar viszemāko cenu.</w:t>
      </w:r>
    </w:p>
    <w:p w:rsidR="00424C60" w:rsidRDefault="00424C60" w:rsidP="00671557">
      <w:pPr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360" w:right="43" w:hanging="360"/>
        <w:jc w:val="both"/>
        <w:rPr>
          <w:b/>
        </w:rPr>
      </w:pPr>
      <w:r>
        <w:rPr>
          <w:b/>
        </w:rPr>
        <w:t>R.Šteinai publicēt paziņojumus par iepirkuma rezultātiem IUB un ĀND mājaslapās;</w:t>
      </w:r>
    </w:p>
    <w:p w:rsidR="00424C60" w:rsidRDefault="009E166E" w:rsidP="00671557">
      <w:pPr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360" w:right="43" w:hanging="360"/>
        <w:jc w:val="both"/>
        <w:rPr>
          <w:b/>
        </w:rPr>
      </w:pPr>
      <w:r>
        <w:rPr>
          <w:b/>
        </w:rPr>
        <w:t>Uzdot A.Liepiņai nosūtīt informatīvas vēstules par iepirkuma rezultātiem visiem pretendentiem.</w:t>
      </w:r>
    </w:p>
    <w:p w:rsidR="00935077" w:rsidRDefault="00935077" w:rsidP="00935077">
      <w:pPr>
        <w:jc w:val="both"/>
        <w:rPr>
          <w:b/>
          <w:bCs/>
        </w:rPr>
      </w:pPr>
    </w:p>
    <w:p w:rsidR="00935077" w:rsidRDefault="00935077" w:rsidP="00935077">
      <w:pPr>
        <w:jc w:val="both"/>
        <w:rPr>
          <w:b/>
          <w:bCs/>
        </w:rPr>
      </w:pPr>
    </w:p>
    <w:p w:rsidR="00935077" w:rsidRDefault="00935077" w:rsidP="00935077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935077" w:rsidRDefault="00935077" w:rsidP="00935077">
      <w:pPr>
        <w:ind w:firstLine="720"/>
        <w:jc w:val="both"/>
      </w:pPr>
      <w:r>
        <w:t>Komisijas priekšsēdētājs sēdi slēdz plkst. 12:00.</w:t>
      </w:r>
    </w:p>
    <w:p w:rsidR="00935077" w:rsidRDefault="00935077" w:rsidP="00935077">
      <w:pPr>
        <w:ind w:firstLine="720"/>
        <w:jc w:val="both"/>
      </w:pPr>
    </w:p>
    <w:p w:rsidR="00935077" w:rsidRDefault="00935077" w:rsidP="00935077">
      <w:pPr>
        <w:jc w:val="both"/>
        <w:rPr>
          <w:b/>
        </w:rPr>
      </w:pPr>
      <w:r>
        <w:rPr>
          <w:b/>
        </w:rPr>
        <w:t xml:space="preserve">Pielikumā: </w:t>
      </w:r>
    </w:p>
    <w:p w:rsidR="00671557" w:rsidRDefault="00671557" w:rsidP="009E166E">
      <w:pPr>
        <w:pStyle w:val="ListParagraph"/>
        <w:numPr>
          <w:ilvl w:val="0"/>
          <w:numId w:val="7"/>
        </w:numPr>
      </w:pPr>
      <w:r>
        <w:t>Vēstules</w:t>
      </w:r>
      <w:r w:rsidR="009E166E">
        <w:t xml:space="preserve"> no</w:t>
      </w:r>
      <w:r>
        <w:t xml:space="preserve"> A/S „LAFIPA”, SIA „WESEMANN”, SIA „BALTENEKO”, SIA „KATLU NAMS” un SIA „APKU</w:t>
      </w:r>
      <w:r w:rsidR="009E166E">
        <w:t>RE EV”;</w:t>
      </w:r>
    </w:p>
    <w:p w:rsidR="009E166E" w:rsidRDefault="009E166E" w:rsidP="009E166E">
      <w:pPr>
        <w:pStyle w:val="ListParagraph"/>
        <w:numPr>
          <w:ilvl w:val="0"/>
          <w:numId w:val="7"/>
        </w:numPr>
      </w:pPr>
      <w:r>
        <w:t>Izdruka no EIS;</w:t>
      </w:r>
    </w:p>
    <w:p w:rsidR="009E166E" w:rsidRDefault="009E166E" w:rsidP="009E166E">
      <w:pPr>
        <w:pStyle w:val="ListParagraph"/>
        <w:numPr>
          <w:ilvl w:val="0"/>
          <w:numId w:val="7"/>
        </w:numPr>
      </w:pPr>
      <w:r>
        <w:t>Izdrukas no IUB un ĀND mājaslapām;</w:t>
      </w:r>
    </w:p>
    <w:p w:rsidR="009E166E" w:rsidRDefault="009E166E" w:rsidP="009E166E">
      <w:pPr>
        <w:pStyle w:val="ListParagraph"/>
        <w:numPr>
          <w:ilvl w:val="0"/>
          <w:numId w:val="7"/>
        </w:numPr>
      </w:pPr>
      <w:r>
        <w:t>INFO vēstules pretendentiem.</w:t>
      </w:r>
      <w:bookmarkStart w:id="0" w:name="_GoBack"/>
      <w:bookmarkEnd w:id="0"/>
    </w:p>
    <w:p w:rsidR="00935077" w:rsidRDefault="00935077" w:rsidP="00935077">
      <w:pPr>
        <w:spacing w:line="360" w:lineRule="auto"/>
        <w:ind w:right="-694"/>
        <w:jc w:val="both"/>
      </w:pPr>
    </w:p>
    <w:p w:rsidR="00935077" w:rsidRDefault="00935077" w:rsidP="00935077">
      <w:pPr>
        <w:spacing w:line="360" w:lineRule="auto"/>
        <w:ind w:right="-694"/>
        <w:jc w:val="both"/>
      </w:pPr>
    </w:p>
    <w:p w:rsidR="00935077" w:rsidRDefault="00935077" w:rsidP="00935077">
      <w:pPr>
        <w:spacing w:line="480" w:lineRule="auto"/>
        <w:ind w:right="-694"/>
        <w:jc w:val="both"/>
      </w:pPr>
      <w:r>
        <w:t xml:space="preserve">Komisijas priekšsēdētājs: </w:t>
      </w:r>
      <w:r>
        <w:tab/>
      </w:r>
      <w:r>
        <w:tab/>
        <w:t>_____________________</w:t>
      </w:r>
      <w:r>
        <w:tab/>
        <w:t xml:space="preserve">A. Brūvers </w:t>
      </w:r>
    </w:p>
    <w:p w:rsidR="00935077" w:rsidRDefault="00935077" w:rsidP="00935077">
      <w:pPr>
        <w:spacing w:line="480" w:lineRule="auto"/>
        <w:ind w:right="-694"/>
        <w:jc w:val="both"/>
      </w:pPr>
      <w:r>
        <w:t>Komisijas locekļi:</w:t>
      </w:r>
      <w:r>
        <w:tab/>
      </w:r>
      <w:r>
        <w:tab/>
      </w:r>
      <w:r>
        <w:tab/>
        <w:t>_____________________</w:t>
      </w:r>
      <w:r>
        <w:tab/>
        <w:t>R. Šteina</w:t>
      </w:r>
    </w:p>
    <w:p w:rsidR="00935077" w:rsidRDefault="00935077" w:rsidP="00935077">
      <w:pPr>
        <w:spacing w:line="480" w:lineRule="auto"/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E. Kāpa</w:t>
      </w:r>
    </w:p>
    <w:p w:rsidR="00935077" w:rsidRDefault="00935077" w:rsidP="00935077">
      <w:pPr>
        <w:spacing w:line="480" w:lineRule="auto"/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 Dambis</w:t>
      </w:r>
    </w:p>
    <w:p w:rsidR="00935077" w:rsidRDefault="00935077" w:rsidP="00935077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935077" w:rsidRDefault="00935077" w:rsidP="00935077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9A038A" w:rsidRDefault="009A038A"/>
    <w:sectPr w:rsidR="009A03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6DB"/>
    <w:multiLevelType w:val="hybridMultilevel"/>
    <w:tmpl w:val="50C0491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130C78"/>
    <w:multiLevelType w:val="hybridMultilevel"/>
    <w:tmpl w:val="A3848C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654C5"/>
    <w:multiLevelType w:val="hybridMultilevel"/>
    <w:tmpl w:val="A650D3AA"/>
    <w:lvl w:ilvl="0" w:tplc="ED1A926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17C241A"/>
    <w:multiLevelType w:val="hybridMultilevel"/>
    <w:tmpl w:val="72549C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1736C"/>
    <w:multiLevelType w:val="hybridMultilevel"/>
    <w:tmpl w:val="A3848C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C8"/>
    <w:rsid w:val="0016792C"/>
    <w:rsid w:val="00214E46"/>
    <w:rsid w:val="0030152C"/>
    <w:rsid w:val="00306897"/>
    <w:rsid w:val="00424C60"/>
    <w:rsid w:val="00454234"/>
    <w:rsid w:val="00466608"/>
    <w:rsid w:val="004B1C0F"/>
    <w:rsid w:val="004D1877"/>
    <w:rsid w:val="005E78D3"/>
    <w:rsid w:val="00671557"/>
    <w:rsid w:val="006D402C"/>
    <w:rsid w:val="00703C31"/>
    <w:rsid w:val="00863FE4"/>
    <w:rsid w:val="00935077"/>
    <w:rsid w:val="00956AD2"/>
    <w:rsid w:val="009A038A"/>
    <w:rsid w:val="009E166E"/>
    <w:rsid w:val="00A25899"/>
    <w:rsid w:val="00AD4AC8"/>
    <w:rsid w:val="00B15119"/>
    <w:rsid w:val="00C5292C"/>
    <w:rsid w:val="00C66153"/>
    <w:rsid w:val="00CA265B"/>
    <w:rsid w:val="00CC74D8"/>
    <w:rsid w:val="00D77752"/>
    <w:rsid w:val="00EC6E5E"/>
    <w:rsid w:val="00F8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5077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35077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77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35077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EC6E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15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5077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35077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77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35077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EC6E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15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3560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6</cp:revision>
  <dcterms:created xsi:type="dcterms:W3CDTF">2015-07-07T11:44:00Z</dcterms:created>
  <dcterms:modified xsi:type="dcterms:W3CDTF">2015-07-07T13:46:00Z</dcterms:modified>
</cp:coreProperties>
</file>