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C" w:rsidRDefault="00D3056C" w:rsidP="00D3056C">
      <w:pPr>
        <w:jc w:val="center"/>
        <w:rPr>
          <w:b/>
        </w:rPr>
      </w:pPr>
      <w:r>
        <w:rPr>
          <w:b/>
        </w:rPr>
        <w:t>Ādažu novada domes</w:t>
      </w:r>
    </w:p>
    <w:p w:rsidR="00D3056C" w:rsidRDefault="00D3056C" w:rsidP="00D3056C">
      <w:pPr>
        <w:jc w:val="center"/>
        <w:rPr>
          <w:b/>
        </w:rPr>
      </w:pPr>
      <w:r>
        <w:rPr>
          <w:b/>
        </w:rPr>
        <w:t>iepirkuma</w:t>
      </w:r>
    </w:p>
    <w:p w:rsidR="00D3056C" w:rsidRDefault="00D3056C" w:rsidP="00D3056C">
      <w:pPr>
        <w:jc w:val="center"/>
        <w:rPr>
          <w:b/>
          <w:sz w:val="8"/>
          <w:szCs w:val="8"/>
        </w:rPr>
      </w:pPr>
    </w:p>
    <w:p w:rsidR="00D3056C" w:rsidRPr="00073D39" w:rsidRDefault="00D3056C" w:rsidP="00D3056C">
      <w:pPr>
        <w:jc w:val="center"/>
        <w:rPr>
          <w:b/>
        </w:rPr>
      </w:pPr>
      <w:r w:rsidRPr="00073D39">
        <w:rPr>
          <w:b/>
        </w:rPr>
        <w:t>„</w:t>
      </w:r>
      <w:r w:rsidR="001442AF">
        <w:rPr>
          <w:b/>
        </w:rPr>
        <w:t>Gaujas ielas 33A ēkas pagaidu uzkopšanas pakalpojumi</w:t>
      </w:r>
      <w:r w:rsidRPr="00073D39">
        <w:rPr>
          <w:b/>
        </w:rPr>
        <w:t xml:space="preserve">” </w:t>
      </w:r>
    </w:p>
    <w:p w:rsidR="00D3056C" w:rsidRPr="00073D39" w:rsidRDefault="00D3056C" w:rsidP="00D3056C">
      <w:pPr>
        <w:jc w:val="center"/>
        <w:rPr>
          <w:b/>
        </w:rPr>
      </w:pPr>
      <w:r w:rsidRPr="00073D39">
        <w:rPr>
          <w:b/>
        </w:rPr>
        <w:t>(ID.Nr.</w:t>
      </w:r>
      <w:r w:rsidR="00073D39">
        <w:rPr>
          <w:b/>
        </w:rPr>
        <w:t xml:space="preserve">: </w:t>
      </w:r>
      <w:r w:rsidRPr="00073D39">
        <w:rPr>
          <w:b/>
        </w:rPr>
        <w:t>ĀND</w:t>
      </w:r>
      <w:r w:rsidR="00073D39">
        <w:rPr>
          <w:b/>
        </w:rPr>
        <w:t xml:space="preserve"> </w:t>
      </w:r>
      <w:r w:rsidRPr="00073D39">
        <w:rPr>
          <w:b/>
        </w:rPr>
        <w:t>201</w:t>
      </w:r>
      <w:r w:rsidR="00073D39">
        <w:rPr>
          <w:b/>
        </w:rPr>
        <w:t>4</w:t>
      </w:r>
      <w:r w:rsidRPr="00073D39">
        <w:rPr>
          <w:b/>
        </w:rPr>
        <w:t>/</w:t>
      </w:r>
      <w:r w:rsidR="00073D39">
        <w:rPr>
          <w:rStyle w:val="Normal14ptChar"/>
          <w:sz w:val="24"/>
          <w:szCs w:val="24"/>
        </w:rPr>
        <w:t>0</w:t>
      </w:r>
      <w:r w:rsidR="006A1B03">
        <w:rPr>
          <w:rStyle w:val="Normal14ptChar"/>
          <w:sz w:val="24"/>
          <w:szCs w:val="24"/>
        </w:rPr>
        <w:t>8</w:t>
      </w:r>
      <w:r w:rsidRPr="00073D39">
        <w:rPr>
          <w:b/>
        </w:rPr>
        <w:t>)</w:t>
      </w:r>
    </w:p>
    <w:p w:rsidR="00D3056C" w:rsidRDefault="00D3056C" w:rsidP="00D3056C">
      <w:pPr>
        <w:jc w:val="center"/>
        <w:rPr>
          <w:sz w:val="8"/>
          <w:szCs w:val="8"/>
        </w:rPr>
      </w:pPr>
    </w:p>
    <w:p w:rsidR="00D3056C" w:rsidRDefault="00D3056C" w:rsidP="00D3056C">
      <w:pPr>
        <w:jc w:val="center"/>
        <w:rPr>
          <w:sz w:val="8"/>
          <w:szCs w:val="8"/>
        </w:rPr>
      </w:pPr>
    </w:p>
    <w:p w:rsidR="00D3056C" w:rsidRDefault="00D3056C" w:rsidP="00D3056C">
      <w:pPr>
        <w:jc w:val="center"/>
      </w:pPr>
      <w:r>
        <w:t>iepirkuma komisijas sēdes</w:t>
      </w:r>
    </w:p>
    <w:p w:rsidR="00D3056C" w:rsidRDefault="00D3056C" w:rsidP="00D3056C">
      <w:pPr>
        <w:rPr>
          <w:sz w:val="8"/>
          <w:szCs w:val="8"/>
        </w:rPr>
      </w:pPr>
    </w:p>
    <w:p w:rsidR="00D3056C" w:rsidRDefault="00D3056C" w:rsidP="00D3056C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073D39">
        <w:rPr>
          <w:b/>
        </w:rPr>
        <w:t xml:space="preserve"> Nr.05-30-2014</w:t>
      </w:r>
      <w:r>
        <w:rPr>
          <w:b/>
        </w:rPr>
        <w:t>/</w:t>
      </w:r>
      <w:r w:rsidR="00073D39">
        <w:rPr>
          <w:b/>
        </w:rPr>
        <w:t>0</w:t>
      </w:r>
      <w:r w:rsidR="00EE5A86">
        <w:rPr>
          <w:b/>
        </w:rPr>
        <w:t>8</w:t>
      </w:r>
      <w:r>
        <w:rPr>
          <w:b/>
        </w:rPr>
        <w:t>-</w:t>
      </w:r>
      <w:r w:rsidR="001442AF">
        <w:rPr>
          <w:b/>
        </w:rPr>
        <w:t>2</w:t>
      </w:r>
    </w:p>
    <w:p w:rsidR="00D3056C" w:rsidRDefault="00D3056C" w:rsidP="00D3056C"/>
    <w:tbl>
      <w:tblPr>
        <w:tblW w:w="8755" w:type="dxa"/>
        <w:tblLook w:val="01E0" w:firstRow="1" w:lastRow="1" w:firstColumn="1" w:lastColumn="1" w:noHBand="0" w:noVBand="0"/>
      </w:tblPr>
      <w:tblGrid>
        <w:gridCol w:w="4261"/>
        <w:gridCol w:w="4494"/>
      </w:tblGrid>
      <w:tr w:rsidR="00D3056C" w:rsidTr="00D3056C">
        <w:tc>
          <w:tcPr>
            <w:tcW w:w="4261" w:type="dxa"/>
            <w:hideMark/>
          </w:tcPr>
          <w:p w:rsidR="00D3056C" w:rsidRDefault="00D3056C">
            <w:r>
              <w:t>Ādažos</w:t>
            </w:r>
          </w:p>
        </w:tc>
        <w:tc>
          <w:tcPr>
            <w:tcW w:w="4494" w:type="dxa"/>
            <w:hideMark/>
          </w:tcPr>
          <w:p w:rsidR="00D3056C" w:rsidRDefault="00D3056C" w:rsidP="001442AF">
            <w:pPr>
              <w:jc w:val="right"/>
            </w:pPr>
            <w:r>
              <w:rPr>
                <w:b/>
              </w:rPr>
              <w:t xml:space="preserve">           201</w:t>
            </w:r>
            <w:r w:rsidR="00513017">
              <w:rPr>
                <w:b/>
              </w:rPr>
              <w:t>4</w:t>
            </w:r>
            <w:r>
              <w:rPr>
                <w:b/>
              </w:rPr>
              <w:t xml:space="preserve">. gada </w:t>
            </w:r>
            <w:r w:rsidR="001442AF">
              <w:rPr>
                <w:b/>
              </w:rPr>
              <w:t>24</w:t>
            </w:r>
            <w:r>
              <w:rPr>
                <w:b/>
              </w:rPr>
              <w:t>.</w:t>
            </w:r>
            <w:r w:rsidR="00513017">
              <w:rPr>
                <w:b/>
              </w:rPr>
              <w:t>janvārī</w:t>
            </w:r>
          </w:p>
        </w:tc>
      </w:tr>
    </w:tbl>
    <w:p w:rsidR="00D3056C" w:rsidRDefault="00D3056C" w:rsidP="00D3056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D3056C" w:rsidRDefault="00D3056C" w:rsidP="00D3056C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D3056C" w:rsidRDefault="00D3056C" w:rsidP="00D3056C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priekšsēdētājs atklāj sēdi plkst. 1</w:t>
      </w:r>
      <w:r w:rsidR="00EE5A86">
        <w:rPr>
          <w:sz w:val="24"/>
        </w:rPr>
        <w:t>1</w:t>
      </w:r>
      <w:r>
        <w:rPr>
          <w:sz w:val="24"/>
        </w:rPr>
        <w:t>:00</w:t>
      </w:r>
    </w:p>
    <w:p w:rsidR="00D3056C" w:rsidRDefault="00D3056C" w:rsidP="00D3056C">
      <w:pPr>
        <w:jc w:val="both"/>
        <w:rPr>
          <w:b/>
          <w:bCs/>
        </w:rPr>
      </w:pPr>
    </w:p>
    <w:p w:rsidR="00D3056C" w:rsidRDefault="00D3056C" w:rsidP="00D3056C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D3056C" w:rsidTr="00D3056C">
        <w:tc>
          <w:tcPr>
            <w:tcW w:w="3060" w:type="dxa"/>
          </w:tcPr>
          <w:p w:rsidR="00D3056C" w:rsidRDefault="00D3056C">
            <w:pPr>
              <w:ind w:left="72" w:right="-694"/>
              <w:jc w:val="both"/>
            </w:pPr>
            <w:r>
              <w:t xml:space="preserve">Komisijas priekšsēdētājs: </w:t>
            </w:r>
          </w:p>
          <w:p w:rsidR="00D3056C" w:rsidRDefault="00D3056C">
            <w:pPr>
              <w:ind w:left="72" w:right="-694"/>
              <w:jc w:val="both"/>
            </w:pPr>
            <w:r>
              <w:t>Komisijas locekļi:</w:t>
            </w:r>
          </w:p>
          <w:p w:rsidR="00D3056C" w:rsidRDefault="00D3056C">
            <w:pPr>
              <w:ind w:left="72" w:right="-694"/>
              <w:jc w:val="both"/>
            </w:pPr>
          </w:p>
          <w:p w:rsidR="00D3056C" w:rsidRDefault="00D3056C">
            <w:pPr>
              <w:ind w:left="72" w:right="-694"/>
              <w:jc w:val="both"/>
            </w:pPr>
          </w:p>
          <w:p w:rsidR="00D3056C" w:rsidRDefault="00D3056C">
            <w:pPr>
              <w:ind w:left="72" w:right="-694"/>
              <w:jc w:val="both"/>
            </w:pPr>
          </w:p>
          <w:p w:rsidR="00D3056C" w:rsidRDefault="00D3056C">
            <w:pPr>
              <w:ind w:left="72" w:right="-694"/>
              <w:jc w:val="both"/>
            </w:pPr>
          </w:p>
        </w:tc>
        <w:tc>
          <w:tcPr>
            <w:tcW w:w="4680" w:type="dxa"/>
            <w:hideMark/>
          </w:tcPr>
          <w:p w:rsidR="00D3056C" w:rsidRDefault="00D3056C">
            <w:pPr>
              <w:ind w:right="-694"/>
              <w:jc w:val="both"/>
            </w:pPr>
            <w:r>
              <w:t>Artis Brūvers</w:t>
            </w:r>
          </w:p>
          <w:p w:rsidR="00D3056C" w:rsidRDefault="00D3056C">
            <w:pPr>
              <w:jc w:val="both"/>
            </w:pPr>
            <w:r>
              <w:t>Rita Ozoliņa</w:t>
            </w:r>
          </w:p>
          <w:p w:rsidR="00D3056C" w:rsidRDefault="00D3056C">
            <w:pPr>
              <w:jc w:val="both"/>
            </w:pPr>
            <w:r>
              <w:t>Everita Kāpa</w:t>
            </w:r>
          </w:p>
          <w:p w:rsidR="00D3056C" w:rsidRDefault="00D3056C">
            <w:r>
              <w:t xml:space="preserve">Mareks </w:t>
            </w:r>
            <w:proofErr w:type="spellStart"/>
            <w:r>
              <w:t>Joniškāns</w:t>
            </w:r>
            <w:proofErr w:type="spellEnd"/>
          </w:p>
          <w:p w:rsidR="00D3056C" w:rsidRDefault="00D3056C">
            <w:r>
              <w:t>Valērijs Bulāns</w:t>
            </w:r>
          </w:p>
          <w:p w:rsidR="00D3056C" w:rsidRDefault="00D3056C">
            <w:proofErr w:type="spellStart"/>
            <w:r>
              <w:t>Halfors</w:t>
            </w:r>
            <w:proofErr w:type="spellEnd"/>
            <w:r>
              <w:t xml:space="preserve"> Krasts</w:t>
            </w:r>
          </w:p>
          <w:p w:rsidR="00EE5A86" w:rsidRDefault="00EE5A86">
            <w:r>
              <w:t>Adrija Keiša</w:t>
            </w:r>
          </w:p>
        </w:tc>
      </w:tr>
    </w:tbl>
    <w:p w:rsidR="00D3056C" w:rsidRDefault="00D3056C" w:rsidP="00D3056C">
      <w:pPr>
        <w:rPr>
          <w:b/>
        </w:rPr>
      </w:pPr>
    </w:p>
    <w:p w:rsidR="00D3056C" w:rsidRDefault="00D3056C" w:rsidP="00D3056C">
      <w:pPr>
        <w:rPr>
          <w:b/>
        </w:rPr>
      </w:pPr>
      <w:r>
        <w:rPr>
          <w:b/>
        </w:rPr>
        <w:t xml:space="preserve">Komisijas izveides pamats: </w:t>
      </w:r>
    </w:p>
    <w:p w:rsidR="00D3056C" w:rsidRDefault="00D3056C" w:rsidP="00D3056C">
      <w:pPr>
        <w:ind w:right="26" w:firstLine="709"/>
        <w:jc w:val="both"/>
      </w:pPr>
      <w:r>
        <w:t>Ādažu novada domes 2013. gada 24.septembra lēmums Nr. 215.</w:t>
      </w:r>
    </w:p>
    <w:p w:rsidR="00D3056C" w:rsidRDefault="00D3056C" w:rsidP="00D3056C">
      <w:pPr>
        <w:jc w:val="both"/>
        <w:rPr>
          <w:b/>
          <w:bCs/>
        </w:rPr>
      </w:pPr>
    </w:p>
    <w:p w:rsidR="00D3056C" w:rsidRDefault="00D3056C" w:rsidP="00D3056C">
      <w:pPr>
        <w:jc w:val="both"/>
      </w:pPr>
      <w:r>
        <w:rPr>
          <w:b/>
          <w:bCs/>
        </w:rPr>
        <w:t>Darba kārtībā:</w:t>
      </w:r>
    </w:p>
    <w:p w:rsidR="00D3056C" w:rsidRDefault="006547D2" w:rsidP="00D3056C">
      <w:pPr>
        <w:tabs>
          <w:tab w:val="left" w:pos="993"/>
        </w:tabs>
        <w:ind w:left="709"/>
        <w:jc w:val="both"/>
        <w:rPr>
          <w:b/>
        </w:rPr>
      </w:pPr>
      <w:r>
        <w:t xml:space="preserve">Piedāvājumu atvēršana </w:t>
      </w:r>
      <w:r w:rsidR="00EF7648">
        <w:t xml:space="preserve">un vērtēšana </w:t>
      </w:r>
      <w:r>
        <w:t>i</w:t>
      </w:r>
      <w:r w:rsidR="00D3056C">
        <w:t>epirkum</w:t>
      </w:r>
      <w:r>
        <w:t>ā</w:t>
      </w:r>
      <w:r w:rsidR="00D3056C">
        <w:t xml:space="preserve"> </w:t>
      </w:r>
      <w:r w:rsidR="00D3056C" w:rsidRPr="00403661">
        <w:t>„</w:t>
      </w:r>
      <w:r w:rsidR="009D398E">
        <w:t>Gaujas ielas 33A ēkas pagaidu uzkopšanas pakalpojumi</w:t>
      </w:r>
      <w:r w:rsidR="00D3056C" w:rsidRPr="00403661">
        <w:t>” (ID.Nr.</w:t>
      </w:r>
      <w:r w:rsidR="00513017" w:rsidRPr="00403661">
        <w:t xml:space="preserve">: </w:t>
      </w:r>
      <w:r w:rsidR="00D3056C" w:rsidRPr="00403661">
        <w:t>ĀND</w:t>
      </w:r>
      <w:r w:rsidR="00513017" w:rsidRPr="00403661">
        <w:t xml:space="preserve"> </w:t>
      </w:r>
      <w:r w:rsidR="00D3056C" w:rsidRPr="00403661">
        <w:t>201</w:t>
      </w:r>
      <w:r w:rsidR="00513017" w:rsidRPr="00403661">
        <w:t>4</w:t>
      </w:r>
      <w:r w:rsidR="00D3056C" w:rsidRPr="00403661">
        <w:t>/</w:t>
      </w:r>
      <w:r w:rsidR="00513017" w:rsidRPr="00403661">
        <w:t>0</w:t>
      </w:r>
      <w:r w:rsidR="00405664">
        <w:t>8</w:t>
      </w:r>
      <w:r>
        <w:t>)</w:t>
      </w:r>
      <w:r w:rsidR="00D3056C">
        <w:t>.</w:t>
      </w:r>
    </w:p>
    <w:p w:rsidR="00D3056C" w:rsidRDefault="00D3056C" w:rsidP="00D3056C">
      <w:pPr>
        <w:tabs>
          <w:tab w:val="num" w:pos="284"/>
        </w:tabs>
        <w:ind w:left="284" w:hanging="284"/>
        <w:jc w:val="both"/>
      </w:pPr>
    </w:p>
    <w:p w:rsidR="00D3056C" w:rsidRDefault="00D3056C" w:rsidP="00D3056C">
      <w:pPr>
        <w:jc w:val="both"/>
        <w:rPr>
          <w:b/>
        </w:rPr>
      </w:pPr>
      <w:r>
        <w:rPr>
          <w:b/>
        </w:rPr>
        <w:t>Darba gaita:</w:t>
      </w:r>
    </w:p>
    <w:p w:rsidR="00FB28B9" w:rsidRDefault="003C36AE" w:rsidP="00FB28B9">
      <w:pPr>
        <w:pStyle w:val="ListParagraph"/>
        <w:numPr>
          <w:ilvl w:val="0"/>
          <w:numId w:val="4"/>
        </w:numPr>
        <w:ind w:left="709" w:hanging="567"/>
        <w:jc w:val="both"/>
      </w:pPr>
      <w:r>
        <w:t>Artis Brūvers</w:t>
      </w:r>
      <w:r w:rsidR="00D3056C">
        <w:t xml:space="preserve"> </w:t>
      </w:r>
      <w:r w:rsidR="00405664">
        <w:t xml:space="preserve">ziņo, ka </w:t>
      </w:r>
      <w:r w:rsidR="00FB28B9">
        <w:t>noteiktajā termiņā piedāvājumus ir iesnieguši 2 pretendenti: SIA „Ādažu namsaimnieks” un SIA „</w:t>
      </w:r>
      <w:proofErr w:type="spellStart"/>
      <w:r w:rsidR="00FB28B9">
        <w:t>Nilex</w:t>
      </w:r>
      <w:proofErr w:type="spellEnd"/>
      <w:r w:rsidR="00FB28B9">
        <w:t xml:space="preserve">”: </w:t>
      </w:r>
    </w:p>
    <w:p w:rsidR="00FB28B9" w:rsidRDefault="00FB28B9" w:rsidP="00FB28B9">
      <w:pPr>
        <w:jc w:val="both"/>
      </w:pPr>
    </w:p>
    <w:tbl>
      <w:tblPr>
        <w:tblStyle w:val="TableGrid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3542"/>
        <w:gridCol w:w="2484"/>
      </w:tblGrid>
      <w:tr w:rsidR="00FB28B9" w:rsidTr="008D6BB2">
        <w:trPr>
          <w:jc w:val="center"/>
        </w:trPr>
        <w:tc>
          <w:tcPr>
            <w:tcW w:w="3542" w:type="dxa"/>
          </w:tcPr>
          <w:p w:rsidR="00FB28B9" w:rsidRDefault="00B511D7" w:rsidP="00FB28B9">
            <w:pPr>
              <w:jc w:val="both"/>
            </w:pPr>
            <w:r>
              <w:t>Pretendents:</w:t>
            </w:r>
          </w:p>
        </w:tc>
        <w:tc>
          <w:tcPr>
            <w:tcW w:w="2484" w:type="dxa"/>
          </w:tcPr>
          <w:p w:rsidR="00FB28B9" w:rsidRDefault="00B511D7" w:rsidP="00FB28B9">
            <w:pPr>
              <w:jc w:val="both"/>
            </w:pPr>
            <w:r>
              <w:t>Piedāvātā cena (EURO) bez PVN:</w:t>
            </w:r>
          </w:p>
        </w:tc>
      </w:tr>
      <w:tr w:rsidR="00FB28B9" w:rsidTr="008D6BB2">
        <w:trPr>
          <w:jc w:val="center"/>
        </w:trPr>
        <w:tc>
          <w:tcPr>
            <w:tcW w:w="3542" w:type="dxa"/>
          </w:tcPr>
          <w:p w:rsidR="00FB28B9" w:rsidRPr="008D6BB2" w:rsidRDefault="00B511D7" w:rsidP="00FB28B9">
            <w:pPr>
              <w:jc w:val="both"/>
              <w:rPr>
                <w:b/>
              </w:rPr>
            </w:pPr>
            <w:r w:rsidRPr="008D6BB2">
              <w:rPr>
                <w:b/>
              </w:rPr>
              <w:t>SIA „Ādažu Namsaimnieks”</w:t>
            </w:r>
          </w:p>
        </w:tc>
        <w:tc>
          <w:tcPr>
            <w:tcW w:w="2484" w:type="dxa"/>
          </w:tcPr>
          <w:p w:rsidR="00FB28B9" w:rsidRDefault="004D7F4C" w:rsidP="00FB28B9">
            <w:pPr>
              <w:jc w:val="both"/>
            </w:pPr>
            <w:r>
              <w:t>14 698,56</w:t>
            </w:r>
          </w:p>
        </w:tc>
      </w:tr>
      <w:tr w:rsidR="00FB28B9" w:rsidTr="008D6BB2">
        <w:trPr>
          <w:jc w:val="center"/>
        </w:trPr>
        <w:tc>
          <w:tcPr>
            <w:tcW w:w="3542" w:type="dxa"/>
          </w:tcPr>
          <w:p w:rsidR="00FB28B9" w:rsidRPr="008D6BB2" w:rsidRDefault="00B511D7" w:rsidP="00FB28B9">
            <w:pPr>
              <w:jc w:val="both"/>
              <w:rPr>
                <w:b/>
              </w:rPr>
            </w:pPr>
            <w:r w:rsidRPr="008D6BB2">
              <w:rPr>
                <w:b/>
              </w:rPr>
              <w:t>SIA „</w:t>
            </w:r>
            <w:proofErr w:type="spellStart"/>
            <w:r w:rsidRPr="008D6BB2">
              <w:rPr>
                <w:b/>
              </w:rPr>
              <w:t>Nilex</w:t>
            </w:r>
            <w:proofErr w:type="spellEnd"/>
            <w:r w:rsidRPr="008D6BB2">
              <w:rPr>
                <w:b/>
              </w:rPr>
              <w:t>”</w:t>
            </w:r>
          </w:p>
        </w:tc>
        <w:tc>
          <w:tcPr>
            <w:tcW w:w="2484" w:type="dxa"/>
          </w:tcPr>
          <w:p w:rsidR="00FB28B9" w:rsidRDefault="004D7F4C" w:rsidP="00FB28B9">
            <w:pPr>
              <w:jc w:val="both"/>
            </w:pPr>
            <w:r>
              <w:t>16 198,26</w:t>
            </w:r>
          </w:p>
        </w:tc>
      </w:tr>
    </w:tbl>
    <w:p w:rsidR="008D6BB2" w:rsidRDefault="008D6BB2" w:rsidP="008D6BB2">
      <w:pPr>
        <w:pStyle w:val="ListParagraph"/>
        <w:ind w:left="709"/>
        <w:jc w:val="both"/>
      </w:pPr>
    </w:p>
    <w:p w:rsidR="005A7E72" w:rsidRDefault="00FF40F7" w:rsidP="005A7E72">
      <w:pPr>
        <w:pStyle w:val="ListParagraph"/>
        <w:numPr>
          <w:ilvl w:val="0"/>
          <w:numId w:val="4"/>
        </w:numPr>
        <w:ind w:left="709" w:hanging="567"/>
        <w:jc w:val="both"/>
      </w:pPr>
      <w:r>
        <w:t>Komisija vērtē abu pretendentu</w:t>
      </w:r>
      <w:r w:rsidR="00E146AD">
        <w:t xml:space="preserve"> tehniskos un</w:t>
      </w:r>
      <w:r>
        <w:t xml:space="preserve"> finanšu piedāvājumus un secina, ka SIA „NILEX” finanšu piedāvājumā ir aritmētiskā kļūda</w:t>
      </w:r>
      <w:r w:rsidR="00B8158A">
        <w:t>. Piedāvājuma 3.lpp. tabulā „Citas izmaksas” nekorekti veiktas saskaitīšanas darbības, jo kopsumma par 1.-</w:t>
      </w:r>
      <w:r w:rsidR="00AE2568">
        <w:t xml:space="preserve"> </w:t>
      </w:r>
      <w:r w:rsidR="00B8158A">
        <w:t xml:space="preserve">8.ailē </w:t>
      </w:r>
      <w:r w:rsidR="00AE2568">
        <w:t>uzskaitītajām pakalpojuma pozīcijām ir 641,00 euro, nevis 616,00, kā norādījis pretendents. Līdz a</w:t>
      </w:r>
      <w:r w:rsidR="00E146AD">
        <w:t xml:space="preserve">r to kopējā tabulā kolonnā „Cena par 1 mēnesi (bez PVN) LVL/EUR” </w:t>
      </w:r>
      <w:r w:rsidR="005A7E72">
        <w:t xml:space="preserve">ir labojama pretendenta norādītā cena – 5399,42 uz 5424,42 euro, attiecīgi mainoties arī </w:t>
      </w:r>
      <w:proofErr w:type="gramStart"/>
      <w:r w:rsidR="005A7E72">
        <w:t>nākošajās kolonnās</w:t>
      </w:r>
      <w:proofErr w:type="gramEnd"/>
      <w:r w:rsidR="005A7E72">
        <w:t xml:space="preserve"> iekļautajiem skaitļiem:</w:t>
      </w:r>
    </w:p>
    <w:p w:rsidR="005A7E72" w:rsidRDefault="005A7E72" w:rsidP="005A7E72">
      <w:pPr>
        <w:pStyle w:val="ListParagraph"/>
        <w:ind w:left="709"/>
        <w:jc w:val="both"/>
      </w:pP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400"/>
        <w:gridCol w:w="1705"/>
        <w:gridCol w:w="1701"/>
        <w:gridCol w:w="1709"/>
      </w:tblGrid>
      <w:tr w:rsidR="005A7E72" w:rsidRPr="00317365" w:rsidTr="008D6BB2">
        <w:trPr>
          <w:jc w:val="center"/>
        </w:trPr>
        <w:tc>
          <w:tcPr>
            <w:tcW w:w="1008" w:type="dxa"/>
            <w:shd w:val="clear" w:color="auto" w:fill="auto"/>
          </w:tcPr>
          <w:p w:rsidR="005A7E72" w:rsidRPr="00317365" w:rsidRDefault="005A7E72" w:rsidP="00A815AA">
            <w:pPr>
              <w:jc w:val="center"/>
              <w:rPr>
                <w:sz w:val="18"/>
                <w:szCs w:val="18"/>
              </w:rPr>
            </w:pPr>
            <w:r w:rsidRPr="00317365">
              <w:rPr>
                <w:sz w:val="18"/>
                <w:szCs w:val="18"/>
              </w:rPr>
              <w:t>Nr.</w:t>
            </w:r>
          </w:p>
        </w:tc>
        <w:tc>
          <w:tcPr>
            <w:tcW w:w="2400" w:type="dxa"/>
            <w:shd w:val="clear" w:color="auto" w:fill="auto"/>
          </w:tcPr>
          <w:p w:rsidR="005A7E72" w:rsidRPr="00317365" w:rsidRDefault="005A7E72" w:rsidP="00A815AA">
            <w:pPr>
              <w:jc w:val="center"/>
              <w:rPr>
                <w:sz w:val="18"/>
                <w:szCs w:val="18"/>
              </w:rPr>
            </w:pPr>
            <w:r w:rsidRPr="00317365">
              <w:rPr>
                <w:sz w:val="18"/>
                <w:szCs w:val="18"/>
              </w:rPr>
              <w:t>Pakalpojums</w:t>
            </w:r>
          </w:p>
        </w:tc>
        <w:tc>
          <w:tcPr>
            <w:tcW w:w="1705" w:type="dxa"/>
            <w:shd w:val="clear" w:color="auto" w:fill="808080"/>
          </w:tcPr>
          <w:p w:rsidR="005A7E72" w:rsidRPr="00317365" w:rsidRDefault="005A7E72" w:rsidP="00A815AA">
            <w:pPr>
              <w:jc w:val="center"/>
              <w:rPr>
                <w:sz w:val="18"/>
                <w:szCs w:val="18"/>
              </w:rPr>
            </w:pPr>
            <w:r w:rsidRPr="00317365">
              <w:rPr>
                <w:sz w:val="18"/>
                <w:szCs w:val="18"/>
              </w:rPr>
              <w:t>Cena par 1 mēnesi</w:t>
            </w:r>
          </w:p>
          <w:p w:rsidR="005A7E72" w:rsidRPr="00317365" w:rsidRDefault="005A7E72" w:rsidP="00A815AA">
            <w:pPr>
              <w:jc w:val="center"/>
              <w:rPr>
                <w:sz w:val="18"/>
                <w:szCs w:val="18"/>
              </w:rPr>
            </w:pPr>
            <w:r w:rsidRPr="00317365">
              <w:rPr>
                <w:sz w:val="18"/>
                <w:szCs w:val="18"/>
              </w:rPr>
              <w:t>(bez PVN)</w:t>
            </w:r>
            <w:r>
              <w:rPr>
                <w:sz w:val="18"/>
                <w:szCs w:val="18"/>
              </w:rPr>
              <w:t xml:space="preserve"> LVL/EUR</w:t>
            </w:r>
          </w:p>
        </w:tc>
        <w:tc>
          <w:tcPr>
            <w:tcW w:w="1701" w:type="dxa"/>
            <w:shd w:val="clear" w:color="auto" w:fill="808080"/>
          </w:tcPr>
          <w:p w:rsidR="005A7E72" w:rsidRPr="00317365" w:rsidRDefault="005A7E72" w:rsidP="00A815AA">
            <w:pPr>
              <w:jc w:val="center"/>
              <w:rPr>
                <w:sz w:val="18"/>
                <w:szCs w:val="18"/>
              </w:rPr>
            </w:pPr>
            <w:r w:rsidRPr="00317365">
              <w:rPr>
                <w:sz w:val="18"/>
                <w:szCs w:val="18"/>
              </w:rPr>
              <w:t xml:space="preserve">Cena par </w:t>
            </w:r>
            <w:r>
              <w:rPr>
                <w:sz w:val="18"/>
                <w:szCs w:val="18"/>
              </w:rPr>
              <w:t>2 mēnešiem</w:t>
            </w:r>
          </w:p>
          <w:p w:rsidR="005A7E72" w:rsidRPr="00317365" w:rsidRDefault="005A7E72" w:rsidP="00A815AA">
            <w:pPr>
              <w:jc w:val="center"/>
              <w:rPr>
                <w:sz w:val="18"/>
                <w:szCs w:val="18"/>
              </w:rPr>
            </w:pPr>
            <w:r w:rsidRPr="00317365">
              <w:rPr>
                <w:sz w:val="18"/>
                <w:szCs w:val="18"/>
              </w:rPr>
              <w:t>(bez PVN)</w:t>
            </w:r>
            <w:r>
              <w:rPr>
                <w:sz w:val="18"/>
                <w:szCs w:val="18"/>
              </w:rPr>
              <w:t xml:space="preserve"> LVL/EUR</w:t>
            </w:r>
            <w:r w:rsidRPr="003173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  <w:shd w:val="clear" w:color="auto" w:fill="808080"/>
          </w:tcPr>
          <w:p w:rsidR="005A7E72" w:rsidRPr="00317365" w:rsidRDefault="005A7E72" w:rsidP="00A815AA">
            <w:pPr>
              <w:jc w:val="center"/>
              <w:rPr>
                <w:sz w:val="18"/>
                <w:szCs w:val="18"/>
              </w:rPr>
            </w:pPr>
            <w:r w:rsidRPr="00317365">
              <w:rPr>
                <w:sz w:val="18"/>
                <w:szCs w:val="18"/>
              </w:rPr>
              <w:t xml:space="preserve">Cena par </w:t>
            </w:r>
            <w:r>
              <w:rPr>
                <w:sz w:val="18"/>
                <w:szCs w:val="18"/>
              </w:rPr>
              <w:t>3 mēnešiem</w:t>
            </w:r>
          </w:p>
          <w:p w:rsidR="005A7E72" w:rsidRPr="00317365" w:rsidRDefault="005A7E72" w:rsidP="00A815AA">
            <w:pPr>
              <w:jc w:val="center"/>
              <w:rPr>
                <w:sz w:val="18"/>
                <w:szCs w:val="18"/>
              </w:rPr>
            </w:pPr>
            <w:r w:rsidRPr="00317365">
              <w:rPr>
                <w:sz w:val="18"/>
                <w:szCs w:val="18"/>
              </w:rPr>
              <w:t>(bez PVN)</w:t>
            </w:r>
            <w:r>
              <w:rPr>
                <w:sz w:val="18"/>
                <w:szCs w:val="18"/>
              </w:rPr>
              <w:t xml:space="preserve"> LVL/EUR</w:t>
            </w:r>
          </w:p>
        </w:tc>
      </w:tr>
      <w:tr w:rsidR="005A7E72" w:rsidRPr="00A40945" w:rsidTr="008D6BB2">
        <w:trPr>
          <w:jc w:val="center"/>
        </w:trPr>
        <w:tc>
          <w:tcPr>
            <w:tcW w:w="1008" w:type="dxa"/>
            <w:shd w:val="clear" w:color="auto" w:fill="auto"/>
          </w:tcPr>
          <w:p w:rsidR="005A7E72" w:rsidRPr="00A40945" w:rsidRDefault="005A7E72" w:rsidP="005A7E72">
            <w:pPr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5A7E72" w:rsidRPr="00A40945" w:rsidRDefault="005A7E72" w:rsidP="00A815AA">
            <w:pPr>
              <w:tabs>
                <w:tab w:val="left" w:pos="357"/>
              </w:tabs>
              <w:jc w:val="center"/>
              <w:rPr>
                <w:b/>
                <w:sz w:val="22"/>
                <w:szCs w:val="22"/>
              </w:rPr>
            </w:pPr>
            <w:r w:rsidRPr="00A40945">
              <w:rPr>
                <w:b/>
                <w:bCs/>
                <w:iCs/>
                <w:sz w:val="22"/>
                <w:szCs w:val="22"/>
              </w:rPr>
              <w:t xml:space="preserve">Uzkopšanas pakalpojumu sniegšana saskaņā ar Tehnisko specifikāciju </w:t>
            </w:r>
          </w:p>
        </w:tc>
        <w:tc>
          <w:tcPr>
            <w:tcW w:w="1705" w:type="dxa"/>
          </w:tcPr>
          <w:p w:rsidR="005A7E72" w:rsidRDefault="00E023D5" w:rsidP="00A815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5399,42 EUR</w:t>
            </w:r>
          </w:p>
          <w:p w:rsidR="008D6BB2" w:rsidRDefault="008D6BB2" w:rsidP="00A815AA">
            <w:pPr>
              <w:jc w:val="center"/>
              <w:rPr>
                <w:b/>
                <w:sz w:val="22"/>
                <w:szCs w:val="22"/>
              </w:rPr>
            </w:pPr>
          </w:p>
          <w:p w:rsidR="008D6BB2" w:rsidRPr="00A40945" w:rsidRDefault="007941DF" w:rsidP="00A815AA">
            <w:pPr>
              <w:jc w:val="center"/>
              <w:rPr>
                <w:b/>
                <w:sz w:val="22"/>
                <w:szCs w:val="22"/>
              </w:rPr>
            </w:pPr>
            <w:r w:rsidRPr="007941DF">
              <w:rPr>
                <w:b/>
                <w:color w:val="FF0000"/>
                <w:sz w:val="22"/>
                <w:szCs w:val="22"/>
              </w:rPr>
              <w:t>Labotais: 5424,42</w:t>
            </w:r>
          </w:p>
        </w:tc>
        <w:tc>
          <w:tcPr>
            <w:tcW w:w="1701" w:type="dxa"/>
            <w:shd w:val="clear" w:color="auto" w:fill="auto"/>
          </w:tcPr>
          <w:p w:rsidR="005A7E72" w:rsidRDefault="00E023D5" w:rsidP="00A815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10798,84 EUR</w:t>
            </w:r>
          </w:p>
          <w:p w:rsidR="008D6BB2" w:rsidRDefault="008D6BB2" w:rsidP="00A815AA">
            <w:pPr>
              <w:jc w:val="center"/>
              <w:rPr>
                <w:b/>
                <w:sz w:val="22"/>
                <w:szCs w:val="22"/>
              </w:rPr>
            </w:pPr>
          </w:p>
          <w:p w:rsidR="008D6BB2" w:rsidRPr="00A40945" w:rsidRDefault="007941DF" w:rsidP="00A815AA">
            <w:pPr>
              <w:jc w:val="center"/>
              <w:rPr>
                <w:b/>
                <w:sz w:val="22"/>
                <w:szCs w:val="22"/>
              </w:rPr>
            </w:pPr>
            <w:r w:rsidRPr="007941DF">
              <w:rPr>
                <w:b/>
                <w:color w:val="FF0000"/>
                <w:sz w:val="22"/>
                <w:szCs w:val="22"/>
              </w:rPr>
              <w:t>Labotais: 10848,84</w:t>
            </w:r>
          </w:p>
        </w:tc>
        <w:tc>
          <w:tcPr>
            <w:tcW w:w="1709" w:type="dxa"/>
          </w:tcPr>
          <w:p w:rsidR="005A7E72" w:rsidRDefault="00E023D5" w:rsidP="00A815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16 198,26 EUR</w:t>
            </w:r>
          </w:p>
          <w:p w:rsidR="007941DF" w:rsidRDefault="007941DF" w:rsidP="00A815AA">
            <w:pPr>
              <w:jc w:val="center"/>
              <w:rPr>
                <w:b/>
                <w:sz w:val="22"/>
                <w:szCs w:val="22"/>
              </w:rPr>
            </w:pPr>
          </w:p>
          <w:p w:rsidR="007941DF" w:rsidRPr="00A40945" w:rsidRDefault="007941DF" w:rsidP="00A815AA">
            <w:pPr>
              <w:jc w:val="center"/>
              <w:rPr>
                <w:b/>
                <w:sz w:val="22"/>
                <w:szCs w:val="22"/>
              </w:rPr>
            </w:pPr>
            <w:r w:rsidRPr="007941DF">
              <w:rPr>
                <w:b/>
                <w:color w:val="FF0000"/>
                <w:sz w:val="22"/>
                <w:szCs w:val="22"/>
              </w:rPr>
              <w:t>Labotais: 16 273,26</w:t>
            </w:r>
          </w:p>
        </w:tc>
      </w:tr>
    </w:tbl>
    <w:p w:rsidR="005A7E72" w:rsidRDefault="005A7E72" w:rsidP="005A7E72">
      <w:pPr>
        <w:pStyle w:val="ListParagraph"/>
        <w:ind w:left="709"/>
        <w:jc w:val="both"/>
      </w:pPr>
    </w:p>
    <w:p w:rsidR="005A7E72" w:rsidRDefault="005A7E72" w:rsidP="005A7E72">
      <w:pPr>
        <w:pStyle w:val="ListParagraph"/>
        <w:ind w:left="709"/>
        <w:jc w:val="both"/>
      </w:pPr>
    </w:p>
    <w:p w:rsidR="004A785A" w:rsidRDefault="004A785A" w:rsidP="00E122AF">
      <w:pPr>
        <w:pStyle w:val="ListParagraph"/>
        <w:numPr>
          <w:ilvl w:val="0"/>
          <w:numId w:val="4"/>
        </w:numPr>
        <w:ind w:left="709" w:hanging="709"/>
        <w:jc w:val="both"/>
      </w:pPr>
      <w:r>
        <w:t>Komisija lemj</w:t>
      </w:r>
      <w:r w:rsidR="000D4855">
        <w:t xml:space="preserve"> par līguma slēgšanas tiesību piešķiršanu lētākās cenas pretendentam – SIA „Ādažu namsaimnieks”</w:t>
      </w:r>
      <w:r w:rsidR="00C608BE">
        <w:t xml:space="preserve">. </w:t>
      </w:r>
    </w:p>
    <w:p w:rsidR="000D4855" w:rsidRDefault="00C608BE" w:rsidP="00E122AF">
      <w:pPr>
        <w:pStyle w:val="ListParagraph"/>
        <w:numPr>
          <w:ilvl w:val="0"/>
          <w:numId w:val="4"/>
        </w:numPr>
        <w:ind w:left="709" w:hanging="709"/>
        <w:jc w:val="both"/>
      </w:pPr>
      <w:r>
        <w:t xml:space="preserve">Komisija lemj, ka līgums sākotnēji slēdzams uz 1 mēnesi (līgumcena – 4899,52 euro), nepieciešamības gadījumā (ja vēl nav noslēdzies atklāts konkurss ĀND 2013/ </w:t>
      </w:r>
      <w:r w:rsidR="003B02D4">
        <w:t>106) pagarinot to vēl par mēnesi (šī iespēja izmantojama ne vairāk kā 2 reizes, kopējam līguma termiņam nepārsniedzot 3 mēnešus)</w:t>
      </w:r>
      <w:r w:rsidR="0095590A">
        <w:t>.</w:t>
      </w:r>
    </w:p>
    <w:p w:rsidR="004A785A" w:rsidRDefault="004A785A" w:rsidP="004A785A">
      <w:pPr>
        <w:pStyle w:val="ListParagraph"/>
        <w:ind w:left="709"/>
        <w:jc w:val="both"/>
      </w:pPr>
    </w:p>
    <w:p w:rsidR="004A785A" w:rsidRDefault="004A785A" w:rsidP="004A785A">
      <w:pPr>
        <w:pStyle w:val="ListParagraph"/>
        <w:ind w:left="709"/>
        <w:jc w:val="both"/>
      </w:pPr>
    </w:p>
    <w:p w:rsidR="00D3056C" w:rsidRDefault="00D3056C" w:rsidP="00D3056C">
      <w:pPr>
        <w:jc w:val="both"/>
        <w:rPr>
          <w:b/>
          <w:bCs/>
        </w:rPr>
      </w:pPr>
      <w:r>
        <w:rPr>
          <w:b/>
          <w:bCs/>
        </w:rPr>
        <w:t xml:space="preserve">Komisija nolemj: </w:t>
      </w:r>
    </w:p>
    <w:p w:rsidR="0095590A" w:rsidRDefault="0095590A" w:rsidP="00D3056C">
      <w:pPr>
        <w:numPr>
          <w:ilvl w:val="0"/>
          <w:numId w:val="1"/>
        </w:numPr>
        <w:tabs>
          <w:tab w:val="num" w:pos="720"/>
        </w:tabs>
        <w:ind w:left="720" w:hanging="540"/>
        <w:jc w:val="both"/>
      </w:pPr>
      <w:r>
        <w:t>Slēgt līgumu par pagaidu uzkopšanas pakalpojumiem ar SIA „Ādažu namsaimnieks”.</w:t>
      </w:r>
    </w:p>
    <w:p w:rsidR="00D3056C" w:rsidRDefault="0095590A" w:rsidP="00D3056C">
      <w:pPr>
        <w:numPr>
          <w:ilvl w:val="0"/>
          <w:numId w:val="1"/>
        </w:numPr>
        <w:tabs>
          <w:tab w:val="num" w:pos="720"/>
        </w:tabs>
        <w:ind w:left="720" w:hanging="540"/>
        <w:jc w:val="both"/>
      </w:pPr>
      <w:r>
        <w:t>Uzdot Ritai Ozoliņai nosūtīt informāciju par iepirkuma rezultātiem</w:t>
      </w:r>
      <w:r w:rsidR="00700594">
        <w:t xml:space="preserve"> SIA „</w:t>
      </w:r>
      <w:proofErr w:type="spellStart"/>
      <w:r w:rsidR="00700594">
        <w:t>Nilex</w:t>
      </w:r>
      <w:proofErr w:type="spellEnd"/>
      <w:r w:rsidR="00700594">
        <w:t>”</w:t>
      </w:r>
      <w:r>
        <w:t>.</w:t>
      </w:r>
    </w:p>
    <w:p w:rsidR="008E3103" w:rsidRDefault="008E3103" w:rsidP="008E3103">
      <w:pPr>
        <w:numPr>
          <w:ilvl w:val="0"/>
          <w:numId w:val="1"/>
        </w:numPr>
        <w:tabs>
          <w:tab w:val="num" w:pos="720"/>
        </w:tabs>
        <w:ind w:left="720" w:hanging="540"/>
        <w:jc w:val="both"/>
      </w:pPr>
      <w:bookmarkStart w:id="0" w:name="_GoBack"/>
      <w:bookmarkEnd w:id="0"/>
      <w:r>
        <w:t>Publicēt informāciju par iepirkuma rezultātiem ĀND un IUB mājaslapās.</w:t>
      </w:r>
    </w:p>
    <w:p w:rsidR="00D3056C" w:rsidRDefault="00D3056C" w:rsidP="00D3056C">
      <w:pPr>
        <w:jc w:val="both"/>
        <w:rPr>
          <w:b/>
          <w:bCs/>
        </w:rPr>
      </w:pPr>
    </w:p>
    <w:p w:rsidR="00D3056C" w:rsidRDefault="00D3056C" w:rsidP="00D3056C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D3056C" w:rsidRDefault="00D3056C" w:rsidP="00D3056C">
      <w:pPr>
        <w:ind w:firstLine="720"/>
        <w:jc w:val="both"/>
      </w:pPr>
      <w:r>
        <w:t>Komisijas priekšsēdētājs sēdi slēdz plkst. 12:00.</w:t>
      </w:r>
    </w:p>
    <w:p w:rsidR="00D3056C" w:rsidRDefault="00D3056C" w:rsidP="00D3056C">
      <w:pPr>
        <w:jc w:val="both"/>
      </w:pPr>
    </w:p>
    <w:p w:rsidR="00D3056C" w:rsidRDefault="00D3056C" w:rsidP="00D3056C">
      <w:pPr>
        <w:jc w:val="both"/>
      </w:pPr>
    </w:p>
    <w:p w:rsidR="00D3056C" w:rsidRDefault="00D3056C" w:rsidP="00D3056C">
      <w:pPr>
        <w:jc w:val="both"/>
      </w:pPr>
    </w:p>
    <w:p w:rsidR="00D3056C" w:rsidRDefault="00D3056C" w:rsidP="00D3056C">
      <w:pPr>
        <w:ind w:right="-694"/>
        <w:jc w:val="both"/>
      </w:pPr>
      <w:r>
        <w:t xml:space="preserve">Komisijas priekšsēdētājs: </w:t>
      </w:r>
      <w:r>
        <w:tab/>
      </w:r>
      <w:r>
        <w:tab/>
        <w:t>_____________________</w:t>
      </w:r>
      <w:r>
        <w:tab/>
        <w:t xml:space="preserve">A. Brūvers </w:t>
      </w:r>
    </w:p>
    <w:p w:rsidR="00D3056C" w:rsidRDefault="00D3056C" w:rsidP="00D3056C">
      <w:pPr>
        <w:ind w:right="-694"/>
        <w:jc w:val="both"/>
      </w:pPr>
      <w:r>
        <w:t>Komisijas locekļi:</w:t>
      </w:r>
      <w:r>
        <w:tab/>
      </w:r>
      <w:r>
        <w:tab/>
      </w:r>
    </w:p>
    <w:p w:rsidR="00D3056C" w:rsidRDefault="00D3056C" w:rsidP="00D3056C">
      <w:pPr>
        <w:ind w:left="2880" w:firstLine="720"/>
        <w:jc w:val="both"/>
      </w:pPr>
      <w:r>
        <w:t>_____________________</w:t>
      </w:r>
      <w:r>
        <w:tab/>
        <w:t>R. Ozoliņa</w:t>
      </w:r>
    </w:p>
    <w:p w:rsidR="00EF7648" w:rsidRDefault="00EF7648" w:rsidP="00D3056C">
      <w:pPr>
        <w:ind w:left="2880" w:firstLine="720"/>
        <w:jc w:val="both"/>
      </w:pPr>
    </w:p>
    <w:p w:rsidR="00D3056C" w:rsidRDefault="00D3056C" w:rsidP="00D3056C">
      <w:pPr>
        <w:ind w:left="2880" w:firstLine="720"/>
        <w:jc w:val="both"/>
      </w:pPr>
      <w:r>
        <w:t>_____________________</w:t>
      </w:r>
      <w:r>
        <w:tab/>
        <w:t>E. Kāpa</w:t>
      </w:r>
    </w:p>
    <w:p w:rsidR="00EF7648" w:rsidRDefault="00EF7648" w:rsidP="00D3056C">
      <w:pPr>
        <w:ind w:left="2880" w:firstLine="720"/>
        <w:jc w:val="both"/>
      </w:pPr>
    </w:p>
    <w:p w:rsidR="00D3056C" w:rsidRDefault="00D3056C" w:rsidP="00D3056C">
      <w:pPr>
        <w:ind w:left="2880" w:firstLine="720"/>
        <w:jc w:val="both"/>
      </w:pPr>
      <w:r>
        <w:t>_____________________</w:t>
      </w:r>
      <w:r>
        <w:tab/>
        <w:t xml:space="preserve">M. </w:t>
      </w:r>
      <w:proofErr w:type="spellStart"/>
      <w:r>
        <w:t>Joniškāns</w:t>
      </w:r>
      <w:proofErr w:type="spellEnd"/>
    </w:p>
    <w:p w:rsidR="00EF7648" w:rsidRDefault="00EF7648" w:rsidP="00D3056C">
      <w:pPr>
        <w:ind w:left="2880" w:firstLine="720"/>
        <w:jc w:val="both"/>
      </w:pPr>
    </w:p>
    <w:p w:rsidR="00EE5A86" w:rsidRDefault="00EE5A86" w:rsidP="00EE5A86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EF7648" w:rsidRDefault="00EF7648" w:rsidP="00EE5A86"/>
    <w:p w:rsidR="00EE5A86" w:rsidRDefault="00EE5A86" w:rsidP="00EE5A86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A. Keiša</w:t>
      </w:r>
    </w:p>
    <w:p w:rsidR="00EF7648" w:rsidRDefault="00EF7648" w:rsidP="00EE5A86"/>
    <w:p w:rsidR="00D3056C" w:rsidRDefault="00D3056C" w:rsidP="00D3056C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  <w:r>
        <w:tab/>
      </w:r>
      <w:r>
        <w:tab/>
      </w:r>
      <w:r>
        <w:tab/>
      </w:r>
      <w:r>
        <w:tab/>
      </w:r>
    </w:p>
    <w:p w:rsidR="00D3056C" w:rsidRDefault="00D3056C" w:rsidP="00D3056C"/>
    <w:p w:rsidR="00D1744A" w:rsidRDefault="00D1744A"/>
    <w:sectPr w:rsidR="00D1744A" w:rsidSect="00834115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2BA"/>
    <w:multiLevelType w:val="hybridMultilevel"/>
    <w:tmpl w:val="6172EF08"/>
    <w:lvl w:ilvl="0" w:tplc="43F0E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9E0FD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0A91"/>
    <w:multiLevelType w:val="hybridMultilevel"/>
    <w:tmpl w:val="8DFECFDE"/>
    <w:lvl w:ilvl="0" w:tplc="43F0E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E32C2"/>
    <w:multiLevelType w:val="hybridMultilevel"/>
    <w:tmpl w:val="C85CF6D6"/>
    <w:lvl w:ilvl="0" w:tplc="D24C44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586C6E"/>
    <w:multiLevelType w:val="multilevel"/>
    <w:tmpl w:val="8E4C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00"/>
    <w:rsid w:val="00073D39"/>
    <w:rsid w:val="000D4855"/>
    <w:rsid w:val="000F4854"/>
    <w:rsid w:val="001004B9"/>
    <w:rsid w:val="00105E78"/>
    <w:rsid w:val="001442AF"/>
    <w:rsid w:val="002937FE"/>
    <w:rsid w:val="002D2558"/>
    <w:rsid w:val="00351702"/>
    <w:rsid w:val="003B02D4"/>
    <w:rsid w:val="003C36AE"/>
    <w:rsid w:val="00403661"/>
    <w:rsid w:val="00405664"/>
    <w:rsid w:val="004A785A"/>
    <w:rsid w:val="004D7F4C"/>
    <w:rsid w:val="00503502"/>
    <w:rsid w:val="00513017"/>
    <w:rsid w:val="005A39D4"/>
    <w:rsid w:val="005A7E72"/>
    <w:rsid w:val="005B3503"/>
    <w:rsid w:val="00606F09"/>
    <w:rsid w:val="00650321"/>
    <w:rsid w:val="006547D2"/>
    <w:rsid w:val="006A1B03"/>
    <w:rsid w:val="00700594"/>
    <w:rsid w:val="007008D7"/>
    <w:rsid w:val="00712D08"/>
    <w:rsid w:val="0075057C"/>
    <w:rsid w:val="007941DF"/>
    <w:rsid w:val="007D0E68"/>
    <w:rsid w:val="00810D48"/>
    <w:rsid w:val="00824CD3"/>
    <w:rsid w:val="00834115"/>
    <w:rsid w:val="00853CD2"/>
    <w:rsid w:val="008B2452"/>
    <w:rsid w:val="008D6BB2"/>
    <w:rsid w:val="008D7DFA"/>
    <w:rsid w:val="008E3103"/>
    <w:rsid w:val="0095590A"/>
    <w:rsid w:val="009A6A00"/>
    <w:rsid w:val="009D398E"/>
    <w:rsid w:val="00A678CA"/>
    <w:rsid w:val="00AC57F9"/>
    <w:rsid w:val="00AE2568"/>
    <w:rsid w:val="00B31258"/>
    <w:rsid w:val="00B31783"/>
    <w:rsid w:val="00B511D7"/>
    <w:rsid w:val="00B8158A"/>
    <w:rsid w:val="00C17EE3"/>
    <w:rsid w:val="00C608BE"/>
    <w:rsid w:val="00C72CEB"/>
    <w:rsid w:val="00CC081A"/>
    <w:rsid w:val="00D1199E"/>
    <w:rsid w:val="00D1744A"/>
    <w:rsid w:val="00D3056C"/>
    <w:rsid w:val="00E023D5"/>
    <w:rsid w:val="00E122AF"/>
    <w:rsid w:val="00E146AD"/>
    <w:rsid w:val="00EE5A86"/>
    <w:rsid w:val="00EF7648"/>
    <w:rsid w:val="00FB28B9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6C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3056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56C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56C"/>
    <w:rPr>
      <w:rFonts w:eastAsia="Times New Roman"/>
      <w:sz w:val="28"/>
    </w:rPr>
  </w:style>
  <w:style w:type="character" w:customStyle="1" w:styleId="Heading2Char">
    <w:name w:val="Heading 2 Char"/>
    <w:basedOn w:val="DefaultParagraphFont"/>
    <w:link w:val="Heading2"/>
    <w:semiHidden/>
    <w:rsid w:val="00D3056C"/>
    <w:rPr>
      <w:rFonts w:eastAsia="Times New Roman"/>
      <w:sz w:val="28"/>
    </w:rPr>
  </w:style>
  <w:style w:type="character" w:customStyle="1" w:styleId="Normal14ptChar">
    <w:name w:val="Normal + 14 pt Char"/>
    <w:aliases w:val="Bold Char"/>
    <w:link w:val="Normal14pt"/>
    <w:locked/>
    <w:rsid w:val="00D3056C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D3056C"/>
    <w:pPr>
      <w:jc w:val="center"/>
    </w:pPr>
    <w:rPr>
      <w:rFonts w:eastAsiaTheme="minorHAnsi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AC57F9"/>
    <w:pPr>
      <w:ind w:left="720"/>
      <w:contextualSpacing/>
    </w:pPr>
  </w:style>
  <w:style w:type="table" w:styleId="TableGrid">
    <w:name w:val="Table Grid"/>
    <w:basedOn w:val="TableNormal"/>
    <w:uiPriority w:val="59"/>
    <w:rsid w:val="00FB2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6C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3056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56C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56C"/>
    <w:rPr>
      <w:rFonts w:eastAsia="Times New Roman"/>
      <w:sz w:val="28"/>
    </w:rPr>
  </w:style>
  <w:style w:type="character" w:customStyle="1" w:styleId="Heading2Char">
    <w:name w:val="Heading 2 Char"/>
    <w:basedOn w:val="DefaultParagraphFont"/>
    <w:link w:val="Heading2"/>
    <w:semiHidden/>
    <w:rsid w:val="00D3056C"/>
    <w:rPr>
      <w:rFonts w:eastAsia="Times New Roman"/>
      <w:sz w:val="28"/>
    </w:rPr>
  </w:style>
  <w:style w:type="character" w:customStyle="1" w:styleId="Normal14ptChar">
    <w:name w:val="Normal + 14 pt Char"/>
    <w:aliases w:val="Bold Char"/>
    <w:link w:val="Normal14pt"/>
    <w:locked/>
    <w:rsid w:val="00D3056C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D3056C"/>
    <w:pPr>
      <w:jc w:val="center"/>
    </w:pPr>
    <w:rPr>
      <w:rFonts w:eastAsiaTheme="minorHAnsi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AC57F9"/>
    <w:pPr>
      <w:ind w:left="720"/>
      <w:contextualSpacing/>
    </w:pPr>
  </w:style>
  <w:style w:type="table" w:styleId="TableGrid">
    <w:name w:val="Table Grid"/>
    <w:basedOn w:val="TableNormal"/>
    <w:uiPriority w:val="59"/>
    <w:rsid w:val="00FB2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Ozoliņa</dc:creator>
  <cp:keywords/>
  <dc:description/>
  <cp:lastModifiedBy>Rita Ozoliņa</cp:lastModifiedBy>
  <cp:revision>21</cp:revision>
  <dcterms:created xsi:type="dcterms:W3CDTF">2014-01-08T14:05:00Z</dcterms:created>
  <dcterms:modified xsi:type="dcterms:W3CDTF">2014-01-29T11:45:00Z</dcterms:modified>
</cp:coreProperties>
</file>